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3" w:type="dxa"/>
        <w:tblLayout w:type="fixed"/>
        <w:tblLook w:val="04A0" w:firstRow="1" w:lastRow="0" w:firstColumn="1" w:lastColumn="0" w:noHBand="0" w:noVBand="1"/>
      </w:tblPr>
      <w:tblGrid>
        <w:gridCol w:w="5211"/>
        <w:gridCol w:w="4536"/>
        <w:gridCol w:w="4536"/>
      </w:tblGrid>
      <w:tr w:rsidR="00523D82" w:rsidRPr="007317C7" w14:paraId="43CCE853" w14:textId="77777777" w:rsidTr="007E1D85">
        <w:tc>
          <w:tcPr>
            <w:tcW w:w="5211" w:type="dxa"/>
            <w:hideMark/>
          </w:tcPr>
          <w:p w14:paraId="65B4E035" w14:textId="77777777" w:rsidR="007E1D85" w:rsidRPr="008330E7" w:rsidRDefault="007E1D85" w:rsidP="00172C77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hideMark/>
          </w:tcPr>
          <w:p w14:paraId="670A31D6" w14:textId="77777777" w:rsidR="00523D82" w:rsidRPr="007317C7" w:rsidRDefault="00523D82" w:rsidP="00172C7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317C7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>УТВЕРЖДЕНА</w:t>
            </w:r>
          </w:p>
          <w:p w14:paraId="0D26BDC1" w14:textId="77777777" w:rsidR="00653617" w:rsidRPr="007317C7" w:rsidRDefault="00523D82" w:rsidP="00172C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Приказом </w:t>
            </w:r>
            <w:r w:rsidR="004C462F"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редседателя </w:t>
            </w:r>
          </w:p>
          <w:p w14:paraId="224A54E1" w14:textId="77777777" w:rsidR="00F365CD" w:rsidRPr="007317C7" w:rsidRDefault="007E702A" w:rsidP="00172C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РГУ «</w:t>
            </w:r>
            <w:r w:rsidR="00CA739B"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Комитет</w:t>
            </w:r>
            <w:r w:rsidR="00F365CD"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медицинского и </w:t>
            </w:r>
            <w:r w:rsidR="009B7AD9"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фармацевтического контроля</w:t>
            </w:r>
            <w:r w:rsidR="00F365CD"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14:paraId="18A70552" w14:textId="77777777" w:rsidR="00F365CD" w:rsidRPr="007317C7" w:rsidRDefault="00F365CD" w:rsidP="00172C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Министерства здравоохранения </w:t>
            </w:r>
          </w:p>
          <w:p w14:paraId="5A83DC80" w14:textId="77777777" w:rsidR="00523D82" w:rsidRPr="007317C7" w:rsidRDefault="00F365CD" w:rsidP="00172C77">
            <w:pPr>
              <w:keepNext/>
              <w:autoSpaceDE w:val="0"/>
              <w:autoSpaceDN w:val="0"/>
              <w:spacing w:after="0" w:line="240" w:lineRule="auto"/>
              <w:outlineLvl w:val="3"/>
              <w:rPr>
                <w:rFonts w:ascii="Times New Roman" w:eastAsia="Times New Roman" w:hAnsi="Times New Roman"/>
                <w:bCs/>
                <w:color w:val="FF0000"/>
                <w:sz w:val="28"/>
                <w:szCs w:val="28"/>
                <w:lang w:eastAsia="ru-RU"/>
              </w:rPr>
            </w:pPr>
            <w:r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Республики Казахстан</w:t>
            </w:r>
            <w:r w:rsidR="007260E8" w:rsidRPr="007317C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»</w:t>
            </w:r>
          </w:p>
          <w:p w14:paraId="0FAEFFCE" w14:textId="05C47C30" w:rsidR="00523D82" w:rsidRPr="007317C7" w:rsidRDefault="00523D82" w:rsidP="00172C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«</w:t>
            </w:r>
            <w:r w:rsidR="00170998" w:rsidRPr="00DA4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  <w:r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  <w:r w:rsidR="00170998" w:rsidRPr="00DA4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11   </w:t>
            </w:r>
            <w:r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70998" w:rsidRPr="00DA4A5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24 </w:t>
            </w:r>
            <w:r w:rsidRPr="007317C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</w:p>
          <w:p w14:paraId="7DA80E7F" w14:textId="77777777" w:rsidR="00DA4A58" w:rsidRDefault="00523D82" w:rsidP="00DA4A58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7317C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№</w:t>
            </w:r>
            <w:r w:rsidR="00170998">
              <w:rPr>
                <w:rFonts w:ascii="Times New Roman" w:eastAsia="Times New Roman" w:hAnsi="Times New Roman"/>
                <w:snapToGrid w:val="0"/>
                <w:sz w:val="28"/>
                <w:szCs w:val="28"/>
                <w:lang w:val="en-US" w:eastAsia="ru-RU"/>
              </w:rPr>
              <w:t>N</w:t>
            </w:r>
            <w:r w:rsidR="00170998" w:rsidRPr="00DA4A58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081184</w:t>
            </w:r>
            <w:r w:rsidR="00DA4A58" w:rsidRPr="00DA4A58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 </w:t>
            </w:r>
            <w:r w:rsidR="00DA4A58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(для Роджитирокс         25 мкг)</w:t>
            </w:r>
          </w:p>
          <w:p w14:paraId="334112BA" w14:textId="6312AA94" w:rsidR="00DA4A58" w:rsidRDefault="00DA4A58" w:rsidP="00DA4A58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5A4D70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№N0</w:t>
            </w:r>
            <w:r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>81185</w:t>
            </w:r>
            <w:r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 (для Роджитирокс        50 мкг)</w:t>
            </w:r>
          </w:p>
          <w:p w14:paraId="62783552" w14:textId="4BE7CDE9" w:rsidR="00DA4A58" w:rsidRDefault="00DA4A58" w:rsidP="00DA4A58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5A4D70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№N0</w:t>
            </w:r>
            <w:r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>81188</w:t>
            </w:r>
            <w:r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 (для Роджитирокс         75 мкг)</w:t>
            </w:r>
          </w:p>
          <w:p w14:paraId="47984B7E" w14:textId="7D2B6BF8" w:rsidR="00523D82" w:rsidRPr="00170998" w:rsidRDefault="00DA4A58" w:rsidP="00DA4A58">
            <w:pPr>
              <w:widowControl w:val="0"/>
              <w:spacing w:after="0" w:line="240" w:lineRule="auto"/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</w:pPr>
            <w:r w:rsidRPr="005A4D70"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>№N0</w:t>
            </w:r>
            <w:r>
              <w:rPr>
                <w:rFonts w:ascii="Times New Roman" w:eastAsia="Batang" w:hAnsi="Times New Roman"/>
                <w:snapToGrid w:val="0"/>
                <w:sz w:val="28"/>
                <w:szCs w:val="28"/>
                <w:lang w:val="en-US" w:eastAsia="ru-RU"/>
              </w:rPr>
              <w:t>81192</w:t>
            </w:r>
            <w:r>
              <w:rPr>
                <w:rFonts w:ascii="Times New Roman" w:eastAsia="Batang" w:hAnsi="Times New Roman"/>
                <w:snapToGrid w:val="0"/>
                <w:sz w:val="28"/>
                <w:szCs w:val="28"/>
                <w:lang w:eastAsia="ru-RU"/>
              </w:rPr>
              <w:t xml:space="preserve"> (для Роджитирокс      100 мкг)</w:t>
            </w:r>
          </w:p>
        </w:tc>
        <w:tc>
          <w:tcPr>
            <w:tcW w:w="4536" w:type="dxa"/>
          </w:tcPr>
          <w:p w14:paraId="3894E974" w14:textId="77777777" w:rsidR="00523D82" w:rsidRPr="007317C7" w:rsidRDefault="00D46B0B" w:rsidP="00172C7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</w:pPr>
            <w:r w:rsidRPr="007317C7">
              <w:rPr>
                <w:rFonts w:ascii="Times New Roman" w:eastAsia="Times New Roman" w:hAnsi="Times New Roman"/>
                <w:b/>
                <w:snapToGrid w:val="0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14:paraId="26F9822F" w14:textId="77777777" w:rsidR="003662F1" w:rsidRPr="007317C7" w:rsidRDefault="003662F1" w:rsidP="00172C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D040A3C" w14:textId="77777777" w:rsidR="00D76048" w:rsidRPr="007317C7" w:rsidRDefault="00D76048" w:rsidP="00172C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 по медицинскому применению</w:t>
      </w:r>
    </w:p>
    <w:p w14:paraId="2F096C60" w14:textId="77777777" w:rsidR="00D76048" w:rsidRPr="007317C7" w:rsidRDefault="00D76048" w:rsidP="00172C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лекарственного </w:t>
      </w:r>
      <w:r w:rsidR="007D0E84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препарата</w:t>
      </w:r>
      <w:r w:rsidR="00AE7922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(</w:t>
      </w:r>
      <w:r w:rsidR="002C1660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Л</w:t>
      </w:r>
      <w:r w:rsidR="00AE7922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исток-вкладыш)</w:t>
      </w:r>
    </w:p>
    <w:p w14:paraId="178F6AC8" w14:textId="77777777" w:rsidR="002C76D7" w:rsidRPr="007317C7" w:rsidRDefault="002C76D7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4002E34" w14:textId="77777777" w:rsidR="002C76D7" w:rsidRPr="007317C7" w:rsidRDefault="00D76048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Торговое </w:t>
      </w:r>
      <w:r w:rsidR="00E55D6C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наименование</w:t>
      </w:r>
      <w:r w:rsidR="00AE7922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45F97FE5" w14:textId="77777777" w:rsidR="002C76D7" w:rsidRPr="007317C7" w:rsidRDefault="006D0983" w:rsidP="00172C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7317C7">
        <w:rPr>
          <w:rFonts w:ascii="Times New Roman" w:hAnsi="Times New Roman"/>
          <w:sz w:val="28"/>
          <w:szCs w:val="28"/>
          <w:lang w:val="kk-KZ"/>
        </w:rPr>
        <w:t>Роджит</w:t>
      </w:r>
      <w:r w:rsidR="00E22091" w:rsidRPr="007317C7">
        <w:rPr>
          <w:rFonts w:ascii="Times New Roman" w:hAnsi="Times New Roman"/>
          <w:sz w:val="28"/>
          <w:szCs w:val="28"/>
        </w:rPr>
        <w:t>и</w:t>
      </w:r>
      <w:r w:rsidRPr="007317C7">
        <w:rPr>
          <w:rFonts w:ascii="Times New Roman" w:hAnsi="Times New Roman"/>
          <w:sz w:val="28"/>
          <w:szCs w:val="28"/>
          <w:lang w:val="kk-KZ"/>
        </w:rPr>
        <w:t>рокс</w:t>
      </w:r>
    </w:p>
    <w:p w14:paraId="0FAC498A" w14:textId="77777777" w:rsidR="006D0983" w:rsidRPr="007317C7" w:rsidRDefault="006D0983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5F8DE256" w14:textId="77777777" w:rsidR="002C76D7" w:rsidRPr="007317C7" w:rsidRDefault="00AE7922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Международное непатентованное название</w:t>
      </w:r>
    </w:p>
    <w:p w14:paraId="6130E7B7" w14:textId="77777777" w:rsidR="002C76D7" w:rsidRPr="007317C7" w:rsidRDefault="006D0983" w:rsidP="00172C77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Левотироксин натрия</w:t>
      </w:r>
    </w:p>
    <w:p w14:paraId="2C363598" w14:textId="77777777" w:rsidR="006D0983" w:rsidRPr="007317C7" w:rsidRDefault="006D0983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B2C117" w14:textId="77777777" w:rsidR="00D76048" w:rsidRPr="007317C7" w:rsidRDefault="002C76D7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Лекарственная форма, </w:t>
      </w:r>
      <w:r w:rsidR="00AE7922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дозировка  </w:t>
      </w:r>
    </w:p>
    <w:p w14:paraId="02A66407" w14:textId="77777777" w:rsidR="006D0983" w:rsidRPr="007317C7" w:rsidRDefault="006D0983" w:rsidP="00172C77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>Таблетки</w:t>
      </w:r>
      <w:r w:rsidR="00CA4703"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>25 мкг, 50 мкг, 75 мкг и 100 мкг</w:t>
      </w:r>
    </w:p>
    <w:p w14:paraId="44581DC2" w14:textId="77777777" w:rsidR="00B01011" w:rsidRPr="007317C7" w:rsidRDefault="00B01011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37A84AF" w14:textId="77777777" w:rsidR="002C1660" w:rsidRPr="007317C7" w:rsidRDefault="00AE7922" w:rsidP="00172C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napToGrid w:val="0"/>
          <w:sz w:val="28"/>
          <w:szCs w:val="28"/>
          <w:lang w:eastAsia="ru-RU"/>
        </w:rPr>
      </w:pPr>
      <w:bookmarkStart w:id="0" w:name="OCRUncertain022"/>
      <w:r w:rsidRPr="007317C7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>Фармакотерапевтическая</w:t>
      </w:r>
      <w:bookmarkEnd w:id="0"/>
      <w:r w:rsidRPr="007317C7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группа</w:t>
      </w:r>
      <w:r w:rsidR="002C1660" w:rsidRPr="007317C7">
        <w:rPr>
          <w:rFonts w:ascii="Times New Roman" w:eastAsia="Times New Roman" w:hAnsi="Times New Roman"/>
          <w:b/>
          <w:bCs/>
          <w:snapToGrid w:val="0"/>
          <w:sz w:val="28"/>
          <w:szCs w:val="28"/>
          <w:lang w:eastAsia="ru-RU"/>
        </w:rPr>
        <w:t xml:space="preserve"> </w:t>
      </w:r>
    </w:p>
    <w:p w14:paraId="0E40D298" w14:textId="77777777" w:rsidR="00D064B9" w:rsidRPr="007317C7" w:rsidRDefault="00D064B9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Гормональные препараты системного действия, исключая половые гормоны и инсулины. Препараты для лечения заболеваний щитовидной железы. Щитовидной железы гормоны. Левотироксин.</w:t>
      </w:r>
    </w:p>
    <w:p w14:paraId="67DBBA5A" w14:textId="77777777" w:rsidR="002C76D7" w:rsidRPr="007317C7" w:rsidRDefault="00D064B9" w:rsidP="00172C77">
      <w:pPr>
        <w:keepNext/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7317C7">
        <w:rPr>
          <w:rFonts w:ascii="Times New Roman" w:hAnsi="Times New Roman"/>
          <w:sz w:val="28"/>
          <w:szCs w:val="28"/>
        </w:rPr>
        <w:t>Код АТХ: Н03АА01</w:t>
      </w:r>
      <w:r w:rsidR="002C76D7" w:rsidRPr="007317C7">
        <w:rPr>
          <w:rFonts w:ascii="Times New Roman" w:hAnsi="Times New Roman"/>
          <w:sz w:val="24"/>
          <w:szCs w:val="24"/>
        </w:rPr>
        <w:br/>
      </w:r>
    </w:p>
    <w:p w14:paraId="7389042E" w14:textId="77777777" w:rsidR="002C76D7" w:rsidRPr="007317C7" w:rsidRDefault="005444B2" w:rsidP="00172C77">
      <w:pPr>
        <w:keepNext/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Times New Roman" w:hAnsi="Times New Roman"/>
          <w:color w:val="000000"/>
          <w:sz w:val="32"/>
          <w:szCs w:val="32"/>
        </w:rPr>
      </w:pPr>
      <w:r w:rsidRPr="007317C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Показания к применению</w:t>
      </w:r>
      <w:r w:rsidR="002C76D7" w:rsidRPr="007317C7">
        <w:rPr>
          <w:rFonts w:ascii="Times New Roman" w:hAnsi="Times New Roman"/>
          <w:color w:val="000000"/>
          <w:sz w:val="32"/>
          <w:szCs w:val="32"/>
        </w:rPr>
        <w:t xml:space="preserve"> </w:t>
      </w:r>
    </w:p>
    <w:p w14:paraId="6A7251B8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Роджитирокс 25 – 100 мкг у взрослых:</w:t>
      </w:r>
    </w:p>
    <w:p w14:paraId="3EB5E72C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Роджитирокс 50 мкг у детей:</w:t>
      </w:r>
    </w:p>
    <w:p w14:paraId="637248F7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- лечение доброкачественного эутиреоидного зоба</w:t>
      </w:r>
    </w:p>
    <w:p w14:paraId="32661E99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- заместительная терапия при гипотиреозе</w:t>
      </w:r>
    </w:p>
    <w:p w14:paraId="12B09885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- профилактика рецидива после хирургического лечения эутиреоидного зоба в зависимости от послеоперационного гормонального статуса</w:t>
      </w:r>
    </w:p>
    <w:p w14:paraId="1BD7DDFE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- терапия рака щитовидной железы</w:t>
      </w:r>
    </w:p>
    <w:p w14:paraId="436C0B2D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lastRenderedPageBreak/>
        <w:t>- сопутствующая терапия при лечении гипертиреоза антитиреоидными препаратами</w:t>
      </w:r>
    </w:p>
    <w:p w14:paraId="22F59624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- в качестве диагностического средства при проведении теста тиреоидной супрессии</w:t>
      </w:r>
    </w:p>
    <w:p w14:paraId="428D9FEC" w14:textId="77777777" w:rsidR="00D064B9" w:rsidRPr="007317C7" w:rsidRDefault="00D064B9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3CE717" w14:textId="77777777" w:rsidR="00DB406A" w:rsidRPr="007317C7" w:rsidRDefault="00DB406A" w:rsidP="00172C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сведений, н</w:t>
      </w:r>
      <w:r w:rsidR="00844CE8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еобходимых до начала применения</w:t>
      </w:r>
    </w:p>
    <w:p w14:paraId="117A4CB4" w14:textId="77777777" w:rsidR="007D0E84" w:rsidRPr="007317C7" w:rsidRDefault="007D0E84" w:rsidP="00172C7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Противопоказания</w:t>
      </w:r>
    </w:p>
    <w:p w14:paraId="1BDD45B9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- гиперчувствительность к действующему веществу или к любому из вспомогательных веществ, перечисленных в разделе </w:t>
      </w:r>
      <w:r w:rsidR="00CC6AB0" w:rsidRPr="007317C7">
        <w:rPr>
          <w:rFonts w:ascii="Times New Roman" w:hAnsi="Times New Roman"/>
          <w:sz w:val="28"/>
          <w:szCs w:val="28"/>
        </w:rPr>
        <w:t>«Состав»</w:t>
      </w:r>
    </w:p>
    <w:p w14:paraId="12C883C1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- нелеченая недостаточность надпочечников</w:t>
      </w:r>
    </w:p>
    <w:p w14:paraId="317349C6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- нелеченая гипофизарная недостаточность</w:t>
      </w:r>
    </w:p>
    <w:p w14:paraId="2EE1EF6C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- нелеченый тиреотоксикоз</w:t>
      </w:r>
    </w:p>
    <w:p w14:paraId="2CAAC872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- не следует начинать лечение препаратом Роджитирокс при остром инфаркте миокарда, остром миокардите и остром панкардите</w:t>
      </w:r>
    </w:p>
    <w:p w14:paraId="2ED87875" w14:textId="77777777" w:rsidR="00172C77" w:rsidRPr="007317C7" w:rsidRDefault="00172C77" w:rsidP="00172C77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- применение в период беременности в комбинации с антитироидными препаратами</w:t>
      </w:r>
    </w:p>
    <w:p w14:paraId="4191FF70" w14:textId="77777777" w:rsidR="002169A9" w:rsidRPr="007317C7" w:rsidRDefault="00172C77" w:rsidP="009B7AD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- детский и подростковый возраст до 18 лет (только для дозировок 25 мкг, 75 мкг и 100 мкг в связи с содержанием красителей)  </w:t>
      </w:r>
    </w:p>
    <w:p w14:paraId="19014AD9" w14:textId="77777777" w:rsidR="007D0E84" w:rsidRPr="007317C7" w:rsidRDefault="007D0E84" w:rsidP="00172C7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Взаимодействия с другими лекарственными препаратами</w:t>
      </w:r>
    </w:p>
    <w:p w14:paraId="61A13488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Противодиабетические средства</w:t>
      </w:r>
    </w:p>
    <w:p w14:paraId="00692D1C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 xml:space="preserve">Левотироксин может снизить эффективность противодиабетических средств. Поэтому рекомендуется часто проверять уровень глюкозы в крови в начале лечения тиреоидными гормонами. При необходимости следует проводить коррекцию дозы противодиабетических средств. </w:t>
      </w:r>
    </w:p>
    <w:p w14:paraId="5DF44DA2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Производные кумарина</w:t>
      </w:r>
    </w:p>
    <w:p w14:paraId="00531E1E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Левотироксин может усилить действие антикоагулянтной терапии, поскольку он вытесняет антикоагулянты из связи с белками плазмы, что может повысить риск развития кровотечения, например, кровоизлияния в ЦНС или желудочно-кишечного кровотечения, особенно у пожилых пациентов. Поэтому необходим регулярный мониторинг параметров коагуляции в начале и в ходе сопутствующей терапии. При необходимости дозу антикоагулянтов следует скорректировать.</w:t>
      </w:r>
    </w:p>
    <w:p w14:paraId="0FB713BB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Ингибиторы протеазы</w:t>
      </w:r>
    </w:p>
    <w:p w14:paraId="7D7CB490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 xml:space="preserve">Ингибиторы протеазы, такие как ритонавир, индинавир, лопинавир, могут оказывать влияние на эффективность левотироксина. Рекомендуется </w:t>
      </w:r>
      <w:r w:rsidRPr="007317C7">
        <w:rPr>
          <w:rFonts w:ascii="Times New Roman" w:hAnsi="Times New Roman"/>
          <w:bCs/>
          <w:sz w:val="28"/>
          <w:szCs w:val="28"/>
        </w:rPr>
        <w:t xml:space="preserve">проводить </w:t>
      </w:r>
      <w:r w:rsidRPr="007317C7">
        <w:rPr>
          <w:rFonts w:ascii="Times New Roman" w:hAnsi="Times New Roman"/>
          <w:sz w:val="28"/>
          <w:szCs w:val="28"/>
          <w:lang w:eastAsia="sv-SE"/>
        </w:rPr>
        <w:t xml:space="preserve">тщательный мониторинг уровня тиреоидных гормонов. При необходимости следует скорректировать дозу левотироксина. </w:t>
      </w:r>
    </w:p>
    <w:p w14:paraId="3427F965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7317C7">
        <w:rPr>
          <w:rFonts w:ascii="Times New Roman" w:hAnsi="Times New Roman"/>
          <w:i/>
          <w:sz w:val="28"/>
          <w:szCs w:val="28"/>
        </w:rPr>
        <w:t>Фенитоин</w:t>
      </w:r>
    </w:p>
    <w:p w14:paraId="7C97781F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r w:rsidRPr="007317C7">
        <w:rPr>
          <w:rFonts w:ascii="Times New Roman" w:hAnsi="Times New Roman"/>
          <w:bCs/>
          <w:sz w:val="28"/>
          <w:szCs w:val="28"/>
        </w:rPr>
        <w:t xml:space="preserve">Фенитоин может оказать влияние на эффективность </w:t>
      </w:r>
      <w:r w:rsidRPr="007317C7">
        <w:rPr>
          <w:rFonts w:ascii="Times New Roman" w:hAnsi="Times New Roman"/>
          <w:sz w:val="28"/>
          <w:szCs w:val="28"/>
          <w:lang w:eastAsia="sv-SE"/>
        </w:rPr>
        <w:t>левотироксина</w:t>
      </w:r>
      <w:r w:rsidRPr="007317C7">
        <w:rPr>
          <w:rFonts w:ascii="Times New Roman" w:hAnsi="Times New Roman"/>
          <w:bCs/>
          <w:sz w:val="28"/>
          <w:szCs w:val="28"/>
        </w:rPr>
        <w:t xml:space="preserve"> путем его вытеснения из связи с белками плазмы, что может привести к повышению уровня свободного </w:t>
      </w:r>
      <w:r w:rsidRPr="007317C7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7317C7">
        <w:rPr>
          <w:rFonts w:ascii="Times New Roman" w:hAnsi="Times New Roman"/>
          <w:bCs/>
          <w:sz w:val="28"/>
          <w:szCs w:val="28"/>
        </w:rPr>
        <w:t xml:space="preserve">4 и </w:t>
      </w:r>
      <w:r w:rsidRPr="007317C7">
        <w:rPr>
          <w:rFonts w:ascii="Times New Roman" w:hAnsi="Times New Roman"/>
          <w:bCs/>
          <w:sz w:val="28"/>
          <w:szCs w:val="28"/>
          <w:lang w:val="en-US"/>
        </w:rPr>
        <w:t>T</w:t>
      </w:r>
      <w:r w:rsidRPr="007317C7">
        <w:rPr>
          <w:rFonts w:ascii="Times New Roman" w:hAnsi="Times New Roman"/>
          <w:bCs/>
          <w:sz w:val="28"/>
          <w:szCs w:val="28"/>
        </w:rPr>
        <w:t xml:space="preserve">3. С другой стороны, фенитоин повышает интенсивность метаболизма левотироксина в печени. </w:t>
      </w:r>
      <w:r w:rsidRPr="007317C7">
        <w:rPr>
          <w:rFonts w:ascii="Times New Roman" w:hAnsi="Times New Roman"/>
          <w:bCs/>
          <w:sz w:val="28"/>
          <w:szCs w:val="28"/>
        </w:rPr>
        <w:lastRenderedPageBreak/>
        <w:t>Рекомендуется проводить тщательный мониторинг уровня тиреоидных гормонов.</w:t>
      </w:r>
    </w:p>
    <w:p w14:paraId="59E834B2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Колестирамин, колестипол</w:t>
      </w:r>
    </w:p>
    <w:p w14:paraId="3C3A7F2F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Прием ионообменных смол, таких как колестирамин и колестипол, ингибирует абсорбцию левотироксина натрия. Поэтому левотироксин натрия следует принимать за 4-5 часов до приема указанных препаратов.</w:t>
      </w:r>
    </w:p>
    <w:p w14:paraId="2B2E04D8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iCs/>
          <w:sz w:val="28"/>
          <w:szCs w:val="28"/>
          <w:lang w:eastAsia="sv-SE"/>
        </w:rPr>
        <w:t>Соли алюминия, железа и кальция</w:t>
      </w:r>
    </w:p>
    <w:p w14:paraId="1F7C92FC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color w:val="B5072D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 xml:space="preserve">Алюминийсодержащие препараты (антациды, сукральфат) в соответствующей литературе описываются как потенциально снижающие эффективность левотироксина. Препараты, содержащие левотироксин, следует принимать не менее чем за 2 часа до приема алюминийсодержащих препаратов. </w:t>
      </w:r>
      <w:r w:rsidRPr="007317C7">
        <w:rPr>
          <w:rFonts w:ascii="Times New Roman" w:hAnsi="Times New Roman"/>
          <w:sz w:val="28"/>
          <w:szCs w:val="28"/>
        </w:rPr>
        <w:t>То же самое относится к медицинским препаратам, содержащим железо и соли кальция.</w:t>
      </w:r>
      <w:r w:rsidRPr="007317C7">
        <w:rPr>
          <w:rFonts w:ascii="Times New Roman" w:hAnsi="Times New Roman"/>
          <w:color w:val="B5072D"/>
          <w:sz w:val="28"/>
          <w:szCs w:val="28"/>
        </w:rPr>
        <w:t xml:space="preserve"> </w:t>
      </w:r>
    </w:p>
    <w:p w14:paraId="091F9016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Салицилаты, дикумарол, фуросемид, клофибрат</w:t>
      </w:r>
    </w:p>
    <w:p w14:paraId="1AE75ADC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Салицилаты, дикумарол, фуросемид в высоких дозах (250 мг), клофибрат и другие препараты могут вытеснять левотироксин натрия из связи с белками плазмы, что приводит к повышению уровня фракции свободного T4.</w:t>
      </w:r>
    </w:p>
    <w:p w14:paraId="38956C9C" w14:textId="77777777" w:rsidR="009B7AD9" w:rsidRPr="007317C7" w:rsidRDefault="009B7AD9" w:rsidP="009B7AD9">
      <w:pPr>
        <w:pStyle w:val="ac"/>
        <w:jc w:val="both"/>
        <w:rPr>
          <w:rFonts w:ascii="Times New Roman" w:hAnsi="Times New Roman"/>
          <w:i/>
          <w:iCs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iCs/>
          <w:sz w:val="28"/>
          <w:szCs w:val="28"/>
          <w:lang w:eastAsia="sv-SE"/>
        </w:rPr>
        <w:t>Ингибиторы протонной помпы (ИПП)</w:t>
      </w:r>
    </w:p>
    <w:p w14:paraId="57746979" w14:textId="77777777" w:rsidR="009B7AD9" w:rsidRPr="007317C7" w:rsidRDefault="009B7AD9" w:rsidP="009B7AD9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Одновременное применение с ИПП может привести к снижению всасывания гормонов щитовидной железы вследствие повышения рН желудочного сока, вызванного ИПП.</w:t>
      </w:r>
    </w:p>
    <w:p w14:paraId="27FF27C4" w14:textId="77777777" w:rsidR="009B7AD9" w:rsidRPr="007317C7" w:rsidRDefault="009B7AD9" w:rsidP="009B7AD9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При сопутствующем лечении рекомендуется регулярный мониторинг функции щитовидной железы и клиническое наблюдение. Может потребоваться увеличение дозы тиреоидных гормонов.</w:t>
      </w:r>
    </w:p>
    <w:p w14:paraId="02A557C2" w14:textId="77777777" w:rsidR="009B7AD9" w:rsidRPr="007317C7" w:rsidRDefault="009B7AD9" w:rsidP="009B7AD9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Следует также соблюдать осторожность, когда лечение ИПП завершается.</w:t>
      </w:r>
      <w:r w:rsidRPr="007317C7">
        <w:rPr>
          <w:rFonts w:ascii="Times New Roman" w:hAnsi="Times New Roman"/>
          <w:i/>
          <w:sz w:val="28"/>
          <w:szCs w:val="28"/>
          <w:lang w:eastAsia="sv-SE"/>
        </w:rPr>
        <w:t xml:space="preserve"> </w:t>
      </w:r>
    </w:p>
    <w:p w14:paraId="1C2460E1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Орлистат</w:t>
      </w:r>
    </w:p>
    <w:p w14:paraId="3AA56272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При совместном применении левотироксина и орлистата может появиться гипотиреоз и/или снижение контроля гипотиреоза.   Это возможно вследствие понижения абсорбции йодированной соли и/или левотироксина.</w:t>
      </w:r>
    </w:p>
    <w:p w14:paraId="75BE7D90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</w:rPr>
      </w:pPr>
      <w:r w:rsidRPr="007317C7">
        <w:rPr>
          <w:rFonts w:ascii="Times New Roman" w:hAnsi="Times New Roman"/>
          <w:i/>
          <w:sz w:val="28"/>
          <w:szCs w:val="28"/>
        </w:rPr>
        <w:t>Севеламер</w:t>
      </w:r>
    </w:p>
    <w:p w14:paraId="27E3E876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bCs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Севеламер может снизить абсорбцию левотироксина. Поэтому рекомендуется проводить мониторинг на предмет изменения функции щитовидной железы у пациентов в начале и в конце сопутствующей терапии. При необходимости следует скорректировать дозу левотироксина.</w:t>
      </w:r>
      <w:r w:rsidRPr="007317C7">
        <w:rPr>
          <w:rFonts w:ascii="Times New Roman" w:hAnsi="Times New Roman"/>
          <w:bCs/>
          <w:sz w:val="28"/>
          <w:szCs w:val="28"/>
        </w:rPr>
        <w:t xml:space="preserve"> </w:t>
      </w:r>
    </w:p>
    <w:p w14:paraId="6D59C71D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bCs/>
          <w:i/>
          <w:sz w:val="28"/>
          <w:szCs w:val="28"/>
        </w:rPr>
      </w:pPr>
      <w:r w:rsidRPr="007317C7">
        <w:rPr>
          <w:rFonts w:ascii="Times New Roman" w:hAnsi="Times New Roman"/>
          <w:bCs/>
          <w:i/>
          <w:sz w:val="28"/>
          <w:szCs w:val="28"/>
        </w:rPr>
        <w:t>Ингибиторы тирозинкиназы</w:t>
      </w:r>
    </w:p>
    <w:p w14:paraId="283891FB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Ингибиторы тирозинкиназы, такие как иматиниб, сунитиниб, могут снизить эффективность левотироксина.</w:t>
      </w:r>
    </w:p>
    <w:p w14:paraId="1D451A22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Поэтому рекомендуется проводить мониторинг на предмет изменения функции щитовидной железы у пациентов в начале и в конце </w:t>
      </w:r>
      <w:r w:rsidRPr="007317C7">
        <w:rPr>
          <w:rFonts w:ascii="Times New Roman" w:hAnsi="Times New Roman"/>
          <w:sz w:val="28"/>
          <w:szCs w:val="28"/>
        </w:rPr>
        <w:lastRenderedPageBreak/>
        <w:t>сопутствующей терапии. При необходимости следует скорректировать дозу левотироксина.</w:t>
      </w:r>
    </w:p>
    <w:p w14:paraId="7F085CEB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Пропилтиоурацил, глюкокортикоиды, бета-симпатолитики, амиодарон и йодсодержащие контрастные препараты</w:t>
      </w:r>
    </w:p>
    <w:p w14:paraId="7EE1AA04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Указанные вещества ингибируют периферическое превращение T4 в Т3.</w:t>
      </w:r>
    </w:p>
    <w:p w14:paraId="32444507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Ввиду высокого содержания йода амиодарон может инициировать как гипертиреоз, так и гипотиреоз. Особое внимание следует уделять узловому зобу с возможной нераспознанной функциональной автономией.</w:t>
      </w:r>
    </w:p>
    <w:p w14:paraId="0018F4D7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Сертралин, хлорохин/прогуанил</w:t>
      </w:r>
    </w:p>
    <w:p w14:paraId="587580AB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 xml:space="preserve">Эти вещества снижают эффективность левотироксина и повышают уровень ТТГ в сыворотке. </w:t>
      </w:r>
    </w:p>
    <w:p w14:paraId="2ED6128A" w14:textId="77777777" w:rsidR="009B7AD9" w:rsidRPr="007317C7" w:rsidRDefault="009B7AD9" w:rsidP="009B7AD9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Препараты, обладающие фермент-индуцирующим действием</w:t>
      </w:r>
    </w:p>
    <w:p w14:paraId="65920741" w14:textId="77777777" w:rsidR="009B7AD9" w:rsidRPr="007317C7" w:rsidRDefault="009B7AD9" w:rsidP="009B7AD9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Препараты, обладающие фермент-индуцирующим действием, такие как барбитураты, карбамазепин или продукты, содержащие зверобой (Hypericum perforatum L.), могут увеличить печеночный клиренс левотироксина, что приводит к снижению концентрации тиреоидного гормона в сыворотке крови. Таким образом, пациентам, получающим заместительную терапию щитовидной железы, может потребоваться увеличение дозы тиреоидных гормонов, если эти препараты вводятся одновременно.</w:t>
      </w:r>
    </w:p>
    <w:p w14:paraId="2E2D41A0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Препараты, обладающие фермент-индуцирующим действием</w:t>
      </w:r>
    </w:p>
    <w:p w14:paraId="193B5804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Препараты, обладающие фермент-индуцирующим действием, такие как барбитураты или карбамазепин, могут увеличить печеночный клиренс левотироксина.</w:t>
      </w:r>
    </w:p>
    <w:p w14:paraId="14AC5079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Эстрогены</w:t>
      </w:r>
    </w:p>
    <w:p w14:paraId="3197DC38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sz w:val="28"/>
          <w:szCs w:val="28"/>
          <w:lang w:eastAsia="sv-SE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>У женщин, использующих эстрогенсодержащие контрацептивы, или у женщин в постменопаузе, получающих заместительную гормональную терапию, может возрастать потребность в левотироксине.</w:t>
      </w:r>
    </w:p>
    <w:p w14:paraId="29E814E8" w14:textId="77777777" w:rsidR="009B79D2" w:rsidRPr="007317C7" w:rsidRDefault="009B79D2" w:rsidP="009B79D2">
      <w:pPr>
        <w:pStyle w:val="ac"/>
        <w:jc w:val="both"/>
        <w:rPr>
          <w:rFonts w:ascii="Times New Roman" w:hAnsi="Times New Roman"/>
          <w:i/>
          <w:sz w:val="28"/>
          <w:szCs w:val="28"/>
          <w:lang w:eastAsia="sv-SE"/>
        </w:rPr>
      </w:pPr>
      <w:r w:rsidRPr="007317C7">
        <w:rPr>
          <w:rFonts w:ascii="Times New Roman" w:hAnsi="Times New Roman"/>
          <w:i/>
          <w:sz w:val="28"/>
          <w:szCs w:val="28"/>
          <w:lang w:eastAsia="sv-SE"/>
        </w:rPr>
        <w:t>Соесодержащие продукты</w:t>
      </w:r>
    </w:p>
    <w:p w14:paraId="4776C379" w14:textId="77777777" w:rsidR="00AB6F85" w:rsidRPr="007317C7" w:rsidRDefault="009B79D2" w:rsidP="002169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  <w:lang w:eastAsia="sv-SE"/>
        </w:rPr>
        <w:t xml:space="preserve">Употребление соесодержащих продуктов может способствовать снижению кишечного всасывания левотироксина. Поэтому может потребоваться коррекция дозы препарата </w:t>
      </w:r>
      <w:r w:rsidRPr="007317C7">
        <w:rPr>
          <w:rFonts w:ascii="Times New Roman" w:hAnsi="Times New Roman"/>
          <w:sz w:val="28"/>
          <w:szCs w:val="28"/>
        </w:rPr>
        <w:t>Роджитирокс, особенно в начале или после прекращения употребления продуктов, содержащих сою.</w:t>
      </w:r>
    </w:p>
    <w:p w14:paraId="3235E5D4" w14:textId="77777777" w:rsidR="009B7AD9" w:rsidRPr="007317C7" w:rsidRDefault="009B7AD9" w:rsidP="009B7AD9">
      <w:pPr>
        <w:pStyle w:val="ac"/>
        <w:rPr>
          <w:rFonts w:ascii="Times New Roman" w:hAnsi="Times New Roman"/>
          <w:i/>
          <w:iCs/>
          <w:sz w:val="28"/>
          <w:szCs w:val="28"/>
        </w:rPr>
      </w:pPr>
      <w:r w:rsidRPr="007317C7">
        <w:rPr>
          <w:rFonts w:ascii="Times New Roman" w:hAnsi="Times New Roman"/>
          <w:i/>
          <w:iCs/>
          <w:sz w:val="28"/>
          <w:szCs w:val="28"/>
        </w:rPr>
        <w:t>Воздействие на результаты лабораторных исследований</w:t>
      </w:r>
    </w:p>
    <w:p w14:paraId="58BECCEE" w14:textId="77777777" w:rsidR="009B7AD9" w:rsidRPr="007317C7" w:rsidRDefault="009B7AD9" w:rsidP="009B7AD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Биотин может влиять на результаты иммунологических анализов щитовидной железы, основанные на взаимодействии биотин/стрептавидин, что приводит к ложно пониженным или ложно повышенным результатам теста.</w:t>
      </w:r>
    </w:p>
    <w:p w14:paraId="2AC8BB47" w14:textId="77777777" w:rsidR="00D43297" w:rsidRPr="007317C7" w:rsidRDefault="00D43297" w:rsidP="00172C7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Специальные предупреждения</w:t>
      </w:r>
    </w:p>
    <w:p w14:paraId="71C54D16" w14:textId="77777777" w:rsidR="002169A9" w:rsidRPr="007317C7" w:rsidRDefault="002169A9" w:rsidP="002169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До начала заместительной терапии тиреоидными гормонами или до проведения теста тиреоидной супрессии необходимо исключить или провести лечение следующих заболеваний или патологических состояний: коронарной недостаточности, стенокардии, артериосклероза, гипертензии, </w:t>
      </w:r>
      <w:r w:rsidRPr="007317C7">
        <w:rPr>
          <w:rFonts w:ascii="Times New Roman" w:hAnsi="Times New Roman"/>
          <w:sz w:val="28"/>
          <w:szCs w:val="28"/>
        </w:rPr>
        <w:lastRenderedPageBreak/>
        <w:t>гипофизарной недостаточности и недостаточности надпочечников. Также до начала терапии гормонами щитовидной железы следует исключить или провести лечение функциональной автономии щитовидной железы.</w:t>
      </w:r>
    </w:p>
    <w:p w14:paraId="392B2AF8" w14:textId="77777777" w:rsidR="002169A9" w:rsidRPr="007317C7" w:rsidRDefault="002169A9" w:rsidP="002169A9">
      <w:pPr>
        <w:pStyle w:val="ac"/>
        <w:jc w:val="both"/>
        <w:rPr>
          <w:rFonts w:ascii="Times New Roman" w:hAnsi="Times New Roman"/>
          <w:sz w:val="28"/>
          <w:szCs w:val="28"/>
          <w:lang w:eastAsia="zh-TW"/>
        </w:rPr>
      </w:pPr>
      <w:r w:rsidRPr="007317C7">
        <w:rPr>
          <w:rFonts w:ascii="Times New Roman" w:hAnsi="Times New Roman"/>
          <w:sz w:val="28"/>
          <w:szCs w:val="28"/>
          <w:lang w:eastAsia="zh-TW"/>
        </w:rPr>
        <w:t xml:space="preserve">При начале лечения левотироксином у пациентов с риском психических нарушений, рекомендовано начать терапию с маленьких доз левотироксина с постепенным повышением дозы на начальной стадии терапии.  Рекомендовано проводить наблюдение за данными пациентами.  При появлении психических нарушений следует отрегулировать дозу левотироксина. </w:t>
      </w:r>
    </w:p>
    <w:p w14:paraId="481C4E2D" w14:textId="77777777" w:rsidR="002169A9" w:rsidRPr="007317C7" w:rsidRDefault="002169A9" w:rsidP="002169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Необходимо исключить возможность возникновения даже незначительного лекарственно-обусловленного гипертиреоза у пациентов с коронарной недостаточностью, сердечной недостаточностью или тахиаритмиями. Поэтому в этих случаях необходим регулярный мониторинг уровня тиреоидных гормонов.</w:t>
      </w:r>
    </w:p>
    <w:p w14:paraId="00EFE546" w14:textId="77777777" w:rsidR="002169A9" w:rsidRPr="007317C7" w:rsidRDefault="002169A9" w:rsidP="002169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До начала проведения заместительной терапии нужно определить причину возникновения вторичного гипотиреоза, так как недостаточность тиреотропного гормона при вторичном гипотиреозе редко встречается изолированно. При подтверждении сочетанной патологии лечение левотироксином</w:t>
      </w:r>
      <w:r w:rsidRPr="007317C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7317C7">
        <w:rPr>
          <w:rFonts w:ascii="Times New Roman" w:hAnsi="Times New Roman"/>
          <w:sz w:val="28"/>
          <w:szCs w:val="28"/>
        </w:rPr>
        <w:t>необходимо начинать только после компенсации надпочечниковой недостаточности.</w:t>
      </w:r>
    </w:p>
    <w:p w14:paraId="0E3B6881" w14:textId="77777777" w:rsidR="002169A9" w:rsidRPr="007317C7" w:rsidRDefault="002169A9" w:rsidP="002169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При подозрении на развитие функциональной автономии щитовидной железы до начала терапии рекомендуется выполнение стимуляционного теста с тиреотропин-рилизинг гормоном (ТРГ-теста) или супрессивной сцинтиграфии. </w:t>
      </w:r>
    </w:p>
    <w:p w14:paraId="1824C794" w14:textId="77777777" w:rsidR="002169A9" w:rsidRPr="007317C7" w:rsidRDefault="002169A9" w:rsidP="002169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Женщинам в постменопаузе с гипотиреозом и повышенным риском развития остеопороза следует избегать повышения физиологической концентрации левотироксина в сыворотке крови. В этом случае рекомендован тщательный мониторинг функции щитовидной железы. </w:t>
      </w:r>
    </w:p>
    <w:p w14:paraId="560925E9" w14:textId="77777777" w:rsidR="002169A9" w:rsidRPr="007317C7" w:rsidRDefault="002169A9" w:rsidP="002169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Не рекомендуется принимать левотироксин при гипертиреоидных состояниях. Исключением является сопутствующая терапия при лечении гипертиреоза антитиреоидными препаратами.</w:t>
      </w:r>
    </w:p>
    <w:p w14:paraId="38003320" w14:textId="77777777" w:rsidR="002169A9" w:rsidRPr="007317C7" w:rsidRDefault="002169A9" w:rsidP="002169A9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Тиреодные гормоны не назначаются для снижения веса. У пациентов с эутиродным зобом лечение левотироксином не вызовет снижение веса.  Большие дозы могут вызывать тяжелые и даже угрожающие жизни нежелательные последствия. Левотироксин в больших дозах не следует сочетать с определенными веществами для снижения веса, такими как симпатомиметики.</w:t>
      </w:r>
    </w:p>
    <w:p w14:paraId="7AB61BC0" w14:textId="77777777" w:rsidR="002169A9" w:rsidRPr="007317C7" w:rsidRDefault="002169A9" w:rsidP="002169A9">
      <w:pPr>
        <w:pStyle w:val="ac"/>
        <w:jc w:val="both"/>
        <w:rPr>
          <w:rFonts w:ascii="Times New Roman" w:hAnsi="Times New Roman"/>
          <w:b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С момента начала терапии левотироксином в случае переключения с одного препарата на другой рекомендуется скорректировать дозу в зависимости от клинического ответа пациента на терапию и результатов лабораторного обследования.</w:t>
      </w:r>
    </w:p>
    <w:p w14:paraId="37539FBE" w14:textId="77777777" w:rsidR="002169A9" w:rsidRPr="007317C7" w:rsidRDefault="002169A9" w:rsidP="002169A9">
      <w:pPr>
        <w:pStyle w:val="ac"/>
        <w:jc w:val="both"/>
        <w:rPr>
          <w:rFonts w:ascii="Times New Roman" w:hAnsi="Times New Roman"/>
          <w:sz w:val="28"/>
          <w:szCs w:val="28"/>
          <w:lang w:eastAsia="zh-TW"/>
        </w:rPr>
      </w:pPr>
      <w:r w:rsidRPr="007317C7">
        <w:rPr>
          <w:rFonts w:ascii="Times New Roman" w:hAnsi="Times New Roman"/>
          <w:sz w:val="28"/>
          <w:szCs w:val="28"/>
          <w:lang w:eastAsia="zh-TW"/>
        </w:rPr>
        <w:t xml:space="preserve">При совместном применении левотироксина и орлистата может появиться гипотиреоз и/или снижение контроля гипотиреоза. Пациентам </w:t>
      </w:r>
      <w:r w:rsidRPr="007317C7">
        <w:rPr>
          <w:rFonts w:ascii="Times New Roman" w:hAnsi="Times New Roman"/>
          <w:sz w:val="28"/>
          <w:szCs w:val="28"/>
          <w:lang w:eastAsia="zh-TW"/>
        </w:rPr>
        <w:lastRenderedPageBreak/>
        <w:t>принимающим левотироксин, следует, проконсультироваться с врачом перед началом, прекращением или изменением схемы лечения с орлистатом. Орлистат и левотироксин следует принимать в разное время и при необходимости следует отрегулировать дозу левотироксина. В дальнейшем необходимо контролировать уровень гормонов в сыворотке крови.</w:t>
      </w:r>
    </w:p>
    <w:p w14:paraId="1E2413C4" w14:textId="77777777" w:rsidR="002169A9" w:rsidRPr="007317C7" w:rsidRDefault="002169A9" w:rsidP="002169A9">
      <w:pPr>
        <w:pStyle w:val="ac"/>
        <w:jc w:val="both"/>
        <w:rPr>
          <w:rStyle w:val="FontStyle18"/>
          <w:sz w:val="28"/>
          <w:szCs w:val="28"/>
          <w:lang w:bidi="ru-RU"/>
        </w:rPr>
      </w:pPr>
      <w:r w:rsidRPr="007317C7">
        <w:rPr>
          <w:rFonts w:ascii="Times New Roman" w:hAnsi="Times New Roman"/>
          <w:sz w:val="28"/>
          <w:szCs w:val="28"/>
        </w:rPr>
        <w:t>Информация для пациентов, страдающих сахарным диабетом, и пациентов, проходящих антикоагулянтную терапию, представлена в разделе лекарственные взаимодействия.</w:t>
      </w:r>
      <w:r w:rsidRPr="007317C7">
        <w:rPr>
          <w:rStyle w:val="FontStyle18"/>
          <w:sz w:val="28"/>
          <w:szCs w:val="28"/>
          <w:lang w:bidi="ru-RU"/>
        </w:rPr>
        <w:t xml:space="preserve"> </w:t>
      </w:r>
    </w:p>
    <w:p w14:paraId="69171493" w14:textId="77777777" w:rsidR="009B7AD9" w:rsidRPr="007317C7" w:rsidRDefault="009B7AD9" w:rsidP="009B7AD9">
      <w:pPr>
        <w:pStyle w:val="ac"/>
        <w:jc w:val="both"/>
        <w:rPr>
          <w:rStyle w:val="FontStyle18"/>
          <w:b w:val="0"/>
          <w:bCs w:val="0"/>
          <w:i w:val="0"/>
          <w:sz w:val="28"/>
          <w:szCs w:val="28"/>
        </w:rPr>
      </w:pPr>
      <w:r w:rsidRPr="007317C7">
        <w:rPr>
          <w:rStyle w:val="FontStyle18"/>
          <w:b w:val="0"/>
          <w:bCs w:val="0"/>
          <w:i w:val="0"/>
          <w:sz w:val="28"/>
          <w:szCs w:val="28"/>
        </w:rPr>
        <w:t>Биотин может влиять на результаты анализов щитовидной железы, основанные на взаимодействии биотин/стрептавидин, что приводит к ложно пониженным или ложно повышенным результатам теста. Риск интерференции растет с более высокими дозами биотина.</w:t>
      </w:r>
    </w:p>
    <w:p w14:paraId="357D4B75" w14:textId="77777777" w:rsidR="009B7AD9" w:rsidRPr="007317C7" w:rsidRDefault="009B7AD9" w:rsidP="009B7AD9">
      <w:pPr>
        <w:pStyle w:val="ac"/>
        <w:jc w:val="both"/>
        <w:rPr>
          <w:rStyle w:val="FontStyle18"/>
          <w:b w:val="0"/>
          <w:bCs w:val="0"/>
          <w:i w:val="0"/>
          <w:sz w:val="28"/>
          <w:szCs w:val="28"/>
        </w:rPr>
      </w:pPr>
      <w:r w:rsidRPr="007317C7">
        <w:rPr>
          <w:rStyle w:val="FontStyle18"/>
          <w:b w:val="0"/>
          <w:bCs w:val="0"/>
          <w:i w:val="0"/>
          <w:sz w:val="28"/>
          <w:szCs w:val="28"/>
        </w:rPr>
        <w:t>При интерпретации результатов лабораторных тестов следует учитывать возможное взаимодействие биотина, особенно, если наблюдается отсутствие согласованности с клинической картиной.</w:t>
      </w:r>
    </w:p>
    <w:p w14:paraId="22C48B3E" w14:textId="77777777" w:rsidR="009B7AD9" w:rsidRPr="007317C7" w:rsidRDefault="009B7AD9" w:rsidP="009B7AD9">
      <w:pPr>
        <w:pStyle w:val="ac"/>
        <w:jc w:val="both"/>
        <w:rPr>
          <w:rStyle w:val="FontStyle18"/>
          <w:b w:val="0"/>
          <w:bCs w:val="0"/>
          <w:i w:val="0"/>
          <w:sz w:val="28"/>
          <w:szCs w:val="28"/>
        </w:rPr>
      </w:pPr>
      <w:r w:rsidRPr="007317C7">
        <w:rPr>
          <w:rStyle w:val="FontStyle18"/>
          <w:b w:val="0"/>
          <w:bCs w:val="0"/>
          <w:i w:val="0"/>
          <w:sz w:val="28"/>
          <w:szCs w:val="28"/>
        </w:rPr>
        <w:t>Относительно пациентов, принимающих препараты, содержащие биотин, следует проинформировать персонал лаборатории относительно лучшего времени, когда нужно провести исследование функции щитовидной железы. Следует использовать альтернативные тесты, нечувствительные к воздействию биотина, если они есть.</w:t>
      </w:r>
    </w:p>
    <w:p w14:paraId="691E84CA" w14:textId="77777777" w:rsidR="00D43297" w:rsidRPr="007317C7" w:rsidRDefault="00D43297" w:rsidP="00172C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317C7">
        <w:rPr>
          <w:rFonts w:ascii="Times New Roman" w:hAnsi="Times New Roman"/>
          <w:i/>
          <w:sz w:val="28"/>
          <w:szCs w:val="28"/>
        </w:rPr>
        <w:t>Во время беременности или лактации</w:t>
      </w:r>
    </w:p>
    <w:p w14:paraId="52D92D39" w14:textId="77777777" w:rsidR="00504074" w:rsidRPr="007317C7" w:rsidRDefault="00504074" w:rsidP="00504074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Во время беременности и особенно в период лактации прием левотироксина следует продолжать. В период беременности даже может потребоваться увеличение дозы. </w:t>
      </w:r>
    </w:p>
    <w:p w14:paraId="70A8B680" w14:textId="77777777" w:rsidR="00504074" w:rsidRPr="007317C7" w:rsidRDefault="00504074" w:rsidP="00504074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Поскольку повышение уровня ТТГ в сыворотке крови может происходить уже через 4 недели беременности, беременные женщины, принимающие левотироксин, должны измерять ТТГ в течение каждого триместра, чтобы контролировать значения TТГ сыворотке крови матери в пределах триместр-специфического контрольного диапазона во время беременности.  Повышенный уровень ТТГ в сыворотке следует корректировать путем увеличения дозы левотироксина. Поскольку уровень ТТГ после родов должен соответствовать уровню ТТГ до беременности, дозировка левотироксина должна возвращаться к исходной дозировке на момент начала беременности сразу после родов. Целевой уровень ТТГ в сыворотке должен быть достигнут через 6-8 недель после родов.</w:t>
      </w:r>
    </w:p>
    <w:p w14:paraId="136E41B1" w14:textId="77777777" w:rsidR="00504074" w:rsidRPr="007317C7" w:rsidRDefault="00504074" w:rsidP="00504074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Нет данных о возникновении тератогенных и фетотоксичных эффектов при приеме препарата в рекомендуемых терапевтических дозах. Прием препарата в период беременности в чрезмерно высоких дозах может негативно влиять на плод и постнатальное развитие. </w:t>
      </w:r>
    </w:p>
    <w:p w14:paraId="07DADA14" w14:textId="77777777" w:rsidR="00504074" w:rsidRPr="007317C7" w:rsidRDefault="00504074" w:rsidP="00504074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Применение при беременности препарата в комбинации с антитиреоидными средствами противопоказано, так как прием левотироксина натрия может потребовать увеличение доз антитиреоидных </w:t>
      </w:r>
      <w:r w:rsidRPr="007317C7">
        <w:rPr>
          <w:rFonts w:ascii="Times New Roman" w:hAnsi="Times New Roman"/>
          <w:sz w:val="28"/>
          <w:szCs w:val="28"/>
        </w:rPr>
        <w:lastRenderedPageBreak/>
        <w:t>средств. Поскольку антитиреоидные средства, в отличие от левотироксина натрия, могут проникать через плаценту, то у плода может развиться гипотиреоз.</w:t>
      </w:r>
    </w:p>
    <w:p w14:paraId="71ECDC46" w14:textId="77777777" w:rsidR="00504074" w:rsidRPr="007317C7" w:rsidRDefault="00504074" w:rsidP="00504074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В период беременности не рекомендуется проводить диагностический тест тиреоидной супрессии, так как применение радиоактивных веществ противопоказано беременным женщинам.</w:t>
      </w:r>
    </w:p>
    <w:p w14:paraId="26CB4D50" w14:textId="77777777" w:rsidR="00504074" w:rsidRPr="007317C7" w:rsidRDefault="00504074" w:rsidP="00504074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Левотироксин секретируется в грудное молоко при лактации, но концентрации препарата</w:t>
      </w:r>
      <w:r w:rsidRPr="007317C7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7317C7">
        <w:rPr>
          <w:rFonts w:ascii="Times New Roman" w:hAnsi="Times New Roman"/>
          <w:sz w:val="28"/>
          <w:szCs w:val="28"/>
        </w:rPr>
        <w:t>при приеме рекомендованных терапевтических доз являются недостаточными для того, чтобы вызвать развитие гипертиреоза или подавление секреции ТТГ у младенца.</w:t>
      </w:r>
    </w:p>
    <w:p w14:paraId="6061AE7B" w14:textId="77777777" w:rsidR="00FA4F7C" w:rsidRPr="007317C7" w:rsidRDefault="00FA4F7C" w:rsidP="00172C7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317C7">
        <w:rPr>
          <w:rFonts w:ascii="Times New Roman" w:hAnsi="Times New Roman"/>
          <w:i/>
          <w:sz w:val="28"/>
          <w:szCs w:val="28"/>
        </w:rPr>
        <w:t>Особенности влияния препарата на способность управлять транспортным средством или потенциально опасными механизмами</w:t>
      </w:r>
    </w:p>
    <w:p w14:paraId="1E6F9C46" w14:textId="77777777" w:rsidR="006D115A" w:rsidRPr="007317C7" w:rsidRDefault="006D115A" w:rsidP="006D1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Исследования </w:t>
      </w:r>
      <w:r w:rsidRPr="007317C7">
        <w:rPr>
          <w:rFonts w:ascii="Times New Roman" w:hAnsi="Times New Roman"/>
          <w:color w:val="000000"/>
          <w:sz w:val="28"/>
          <w:szCs w:val="28"/>
        </w:rPr>
        <w:t xml:space="preserve">влияния </w:t>
      </w:r>
      <w:r w:rsidRPr="007317C7">
        <w:rPr>
          <w:rFonts w:ascii="Times New Roman" w:hAnsi="Times New Roman"/>
          <w:sz w:val="28"/>
          <w:szCs w:val="28"/>
        </w:rPr>
        <w:t>левотироксина на способность управлять транспортными средствами и механизмами не проводились. Тем не менее, так как левотироксин натрия идентичен природному тиреоидному гормону, никакого влияния на способность управлять транспортными средствами и механизмами не ожидается.</w:t>
      </w:r>
    </w:p>
    <w:p w14:paraId="3ACAD903" w14:textId="77777777" w:rsidR="006D115A" w:rsidRPr="007317C7" w:rsidRDefault="006D115A" w:rsidP="006D11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2F408AE" w14:textId="77777777" w:rsidR="00DB406A" w:rsidRPr="007317C7" w:rsidRDefault="00DB406A" w:rsidP="00172C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применению</w:t>
      </w:r>
    </w:p>
    <w:p w14:paraId="36FDC4B7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bookmarkStart w:id="1" w:name="2175220275"/>
      <w:bookmarkStart w:id="2" w:name="2175220280"/>
      <w:r w:rsidRPr="007317C7">
        <w:rPr>
          <w:rFonts w:ascii="Times New Roman" w:hAnsi="Times New Roman"/>
          <w:b/>
          <w:bCs/>
          <w:i/>
          <w:iCs/>
          <w:sz w:val="28"/>
          <w:szCs w:val="28"/>
        </w:rPr>
        <w:t>Режим дозирования</w:t>
      </w:r>
    </w:p>
    <w:p w14:paraId="40708196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Для лечения пациентов на основании их индивидуальных потребностей доступны таблетки с различным содержанием левотироксина натрия – от 25 до 100 мкг. Поэтому обычно пациентам нужно принимать всего одну таблетку в сутки.</w:t>
      </w:r>
    </w:p>
    <w:p w14:paraId="372840EB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Рекомендации по дозировке представлены в таблицах ниже.</w:t>
      </w:r>
    </w:p>
    <w:p w14:paraId="1E4F40A7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Суточная доза определяется индивидуально в зависимости от лабораторных тестов и клинического осмотра. Так как у большинства пациентов наблюдается повышенная концентрация T4 и FT4, базальная концентрация тиреотропного гормона (ТТГ) в сыворотке обеспечивает более надежную основу для определения курса лечения.</w:t>
      </w:r>
    </w:p>
    <w:p w14:paraId="617012DE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Терапию тиреоидными гормонами следует начинать с низкой дозы, постепенно увеличивая ее каждые 2-4 недели до достижения полной заместительной дозы.</w:t>
      </w:r>
    </w:p>
    <w:p w14:paraId="2390C470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Опыт применения препарата показывает, что более низкая дозировка является достаточной для пациентов с низким весом и пациентов с большим узловым зобом.</w:t>
      </w:r>
    </w:p>
    <w:tbl>
      <w:tblPr>
        <w:tblW w:w="0" w:type="auto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111"/>
        <w:gridCol w:w="1276"/>
        <w:gridCol w:w="874"/>
        <w:gridCol w:w="260"/>
        <w:gridCol w:w="1276"/>
        <w:gridCol w:w="1275"/>
      </w:tblGrid>
      <w:tr w:rsidR="00535BC0" w:rsidRPr="007317C7" w14:paraId="0BB1F463" w14:textId="77777777" w:rsidTr="00836E1F">
        <w:trPr>
          <w:cantSplit/>
        </w:trPr>
        <w:tc>
          <w:tcPr>
            <w:tcW w:w="4111" w:type="dxa"/>
          </w:tcPr>
          <w:p w14:paraId="03CCC4D9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/>
                <w:sz w:val="28"/>
                <w:szCs w:val="28"/>
              </w:rPr>
              <w:t>Показания</w:t>
            </w:r>
          </w:p>
        </w:tc>
        <w:tc>
          <w:tcPr>
            <w:tcW w:w="4961" w:type="dxa"/>
            <w:gridSpan w:val="5"/>
          </w:tcPr>
          <w:p w14:paraId="61A8693C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/>
                <w:sz w:val="28"/>
                <w:szCs w:val="28"/>
              </w:rPr>
              <w:t>Рекомендованная доза</w:t>
            </w:r>
          </w:p>
          <w:p w14:paraId="14DA09AD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(левотироксина натрия мкг /сутки)</w:t>
            </w:r>
          </w:p>
        </w:tc>
      </w:tr>
      <w:tr w:rsidR="00535BC0" w:rsidRPr="007317C7" w14:paraId="0A2386FB" w14:textId="77777777" w:rsidTr="00836E1F">
        <w:trPr>
          <w:cantSplit/>
          <w:trHeight w:val="709"/>
        </w:trPr>
        <w:tc>
          <w:tcPr>
            <w:tcW w:w="4111" w:type="dxa"/>
          </w:tcPr>
          <w:p w14:paraId="44F938D4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Лечение доброкачественного эутиреоидного зоба</w:t>
            </w:r>
          </w:p>
        </w:tc>
        <w:tc>
          <w:tcPr>
            <w:tcW w:w="4961" w:type="dxa"/>
            <w:gridSpan w:val="5"/>
          </w:tcPr>
          <w:p w14:paraId="28060611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75 - 200</w:t>
            </w:r>
          </w:p>
        </w:tc>
      </w:tr>
      <w:tr w:rsidR="00535BC0" w:rsidRPr="007317C7" w14:paraId="191B5FC3" w14:textId="77777777" w:rsidTr="00836E1F">
        <w:trPr>
          <w:cantSplit/>
        </w:trPr>
        <w:tc>
          <w:tcPr>
            <w:tcW w:w="4111" w:type="dxa"/>
          </w:tcPr>
          <w:p w14:paraId="0FFE05A2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Профилактика рецидива </w:t>
            </w:r>
          </w:p>
          <w:p w14:paraId="1F2ABF0B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после хирургического лечения эутиреоидного зоба</w:t>
            </w:r>
          </w:p>
        </w:tc>
        <w:tc>
          <w:tcPr>
            <w:tcW w:w="4961" w:type="dxa"/>
            <w:gridSpan w:val="5"/>
          </w:tcPr>
          <w:p w14:paraId="45EFBC66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75 </w:t>
            </w:r>
            <w:r w:rsidRPr="007317C7">
              <w:rPr>
                <w:rFonts w:ascii="Times New Roman" w:hAnsi="Times New Roman"/>
                <w:sz w:val="28"/>
                <w:szCs w:val="28"/>
              </w:rPr>
              <w:noBreakHyphen/>
              <w:t> 200</w:t>
            </w:r>
          </w:p>
        </w:tc>
      </w:tr>
      <w:tr w:rsidR="00535BC0" w:rsidRPr="007317C7" w14:paraId="1B48F906" w14:textId="77777777" w:rsidTr="00836E1F">
        <w:trPr>
          <w:cantSplit/>
        </w:trPr>
        <w:tc>
          <w:tcPr>
            <w:tcW w:w="4111" w:type="dxa"/>
          </w:tcPr>
          <w:p w14:paraId="4A3572FD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 xml:space="preserve">Заместительная терапия </w:t>
            </w:r>
          </w:p>
          <w:p w14:paraId="7F8921C2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при гипотериозе</w:t>
            </w:r>
          </w:p>
          <w:p w14:paraId="4AE1051D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начальная доза</w:t>
            </w:r>
          </w:p>
          <w:p w14:paraId="358E0A45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поддерживающая доза</w:t>
            </w:r>
          </w:p>
        </w:tc>
        <w:tc>
          <w:tcPr>
            <w:tcW w:w="2150" w:type="dxa"/>
            <w:gridSpan w:val="2"/>
          </w:tcPr>
          <w:p w14:paraId="252CBFA7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 xml:space="preserve">Взрослые </w:t>
            </w:r>
          </w:p>
          <w:p w14:paraId="40C12131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25 </w:t>
            </w:r>
            <w:r w:rsidRPr="007317C7">
              <w:rPr>
                <w:rFonts w:ascii="Times New Roman" w:hAnsi="Times New Roman"/>
                <w:sz w:val="28"/>
                <w:szCs w:val="28"/>
              </w:rPr>
              <w:noBreakHyphen/>
              <w:t xml:space="preserve"> 50  </w:t>
            </w:r>
          </w:p>
          <w:p w14:paraId="4C231F21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100 </w:t>
            </w:r>
            <w:r w:rsidRPr="007317C7">
              <w:rPr>
                <w:rFonts w:ascii="Times New Roman" w:hAnsi="Times New Roman"/>
                <w:sz w:val="28"/>
                <w:szCs w:val="28"/>
              </w:rPr>
              <w:noBreakHyphen/>
              <w:t> 200 </w:t>
            </w:r>
          </w:p>
        </w:tc>
        <w:tc>
          <w:tcPr>
            <w:tcW w:w="2811" w:type="dxa"/>
            <w:gridSpan w:val="3"/>
          </w:tcPr>
          <w:p w14:paraId="7A6E1604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Дети</w:t>
            </w:r>
          </w:p>
          <w:p w14:paraId="6C4FA045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12.5 </w:t>
            </w:r>
            <w:r w:rsidRPr="007317C7">
              <w:rPr>
                <w:rFonts w:ascii="Times New Roman" w:hAnsi="Times New Roman"/>
                <w:sz w:val="28"/>
                <w:szCs w:val="28"/>
              </w:rPr>
              <w:noBreakHyphen/>
              <w:t> 50 </w:t>
            </w:r>
          </w:p>
          <w:p w14:paraId="45C46AFB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100 </w:t>
            </w:r>
            <w:r w:rsidRPr="007317C7">
              <w:rPr>
                <w:rFonts w:ascii="Times New Roman" w:hAnsi="Times New Roman"/>
                <w:sz w:val="28"/>
                <w:szCs w:val="28"/>
              </w:rPr>
              <w:noBreakHyphen/>
              <w:t> 150 мкг/м</w:t>
            </w:r>
            <w:r w:rsidRPr="007317C7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7317C7">
              <w:rPr>
                <w:rFonts w:ascii="Times New Roman" w:hAnsi="Times New Roman"/>
                <w:sz w:val="28"/>
                <w:szCs w:val="28"/>
              </w:rPr>
              <w:br/>
              <w:t>поверхности тела</w:t>
            </w:r>
          </w:p>
        </w:tc>
      </w:tr>
      <w:tr w:rsidR="00535BC0" w:rsidRPr="007317C7" w14:paraId="6918C8B7" w14:textId="77777777" w:rsidTr="00836E1F">
        <w:trPr>
          <w:cantSplit/>
        </w:trPr>
        <w:tc>
          <w:tcPr>
            <w:tcW w:w="4111" w:type="dxa"/>
          </w:tcPr>
          <w:p w14:paraId="59862CDA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Сопутствующая терапия во время лечения гипертиреоза антитиреоидными препаратами</w:t>
            </w:r>
          </w:p>
        </w:tc>
        <w:tc>
          <w:tcPr>
            <w:tcW w:w="4961" w:type="dxa"/>
            <w:gridSpan w:val="5"/>
          </w:tcPr>
          <w:p w14:paraId="0B738097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50 - 100</w:t>
            </w:r>
          </w:p>
        </w:tc>
      </w:tr>
      <w:tr w:rsidR="00535BC0" w:rsidRPr="007317C7" w14:paraId="486639FB" w14:textId="77777777" w:rsidTr="00836E1F">
        <w:trPr>
          <w:cantSplit/>
          <w:trHeight w:val="587"/>
        </w:trPr>
        <w:tc>
          <w:tcPr>
            <w:tcW w:w="4111" w:type="dxa"/>
          </w:tcPr>
          <w:p w14:paraId="76D90698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Супрессивная терапия рака щитовидной железы</w:t>
            </w:r>
          </w:p>
        </w:tc>
        <w:tc>
          <w:tcPr>
            <w:tcW w:w="4961" w:type="dxa"/>
            <w:gridSpan w:val="5"/>
          </w:tcPr>
          <w:p w14:paraId="7EDEE78E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150 - 300</w:t>
            </w:r>
          </w:p>
        </w:tc>
      </w:tr>
      <w:tr w:rsidR="00535BC0" w:rsidRPr="007317C7" w14:paraId="4A3F517B" w14:textId="77777777" w:rsidTr="00836E1F">
        <w:trPr>
          <w:cantSplit/>
          <w:trHeight w:val="1061"/>
        </w:trPr>
        <w:tc>
          <w:tcPr>
            <w:tcW w:w="4111" w:type="dxa"/>
          </w:tcPr>
          <w:p w14:paraId="14CB34B8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 xml:space="preserve">Применение в диагностических целях при проведении теста тиреоидной супрессии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2B224D9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 4 недели </w:t>
            </w:r>
          </w:p>
          <w:p w14:paraId="173C86E8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до </w:t>
            </w:r>
          </w:p>
          <w:p w14:paraId="08101F3E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теста 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8B4066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 3 недели </w:t>
            </w:r>
          </w:p>
          <w:p w14:paraId="12326FB6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до </w:t>
            </w:r>
          </w:p>
          <w:p w14:paraId="33F446E6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теста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50BEB8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 2 недели </w:t>
            </w:r>
          </w:p>
          <w:p w14:paraId="5DB17887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до </w:t>
            </w:r>
          </w:p>
          <w:p w14:paraId="7C69AB28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теста 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7CD80EBF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За 1 неделю </w:t>
            </w:r>
          </w:p>
          <w:p w14:paraId="07BAA0EA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до </w:t>
            </w:r>
          </w:p>
          <w:p w14:paraId="1DBBD74C" w14:textId="77777777" w:rsidR="00535BC0" w:rsidRPr="007317C7" w:rsidRDefault="00535BC0" w:rsidP="00836E1F">
            <w:pPr>
              <w:pStyle w:val="ac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теста </w:t>
            </w:r>
          </w:p>
        </w:tc>
      </w:tr>
      <w:tr w:rsidR="00535BC0" w:rsidRPr="007317C7" w14:paraId="45154D1D" w14:textId="77777777" w:rsidTr="00836E1F">
        <w:trPr>
          <w:cantSplit/>
          <w:trHeight w:val="378"/>
        </w:trPr>
        <w:tc>
          <w:tcPr>
            <w:tcW w:w="4111" w:type="dxa"/>
          </w:tcPr>
          <w:p w14:paraId="7A25B179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3166E57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3AAFD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2138C44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150 –200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14:paraId="22F8FD2C" w14:textId="77777777" w:rsidR="00535BC0" w:rsidRPr="007317C7" w:rsidRDefault="00535BC0" w:rsidP="00836E1F">
            <w:pPr>
              <w:pStyle w:val="ac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317C7">
              <w:rPr>
                <w:rFonts w:ascii="Times New Roman" w:hAnsi="Times New Roman"/>
                <w:sz w:val="28"/>
                <w:szCs w:val="28"/>
              </w:rPr>
              <w:t>150-200</w:t>
            </w:r>
          </w:p>
        </w:tc>
      </w:tr>
    </w:tbl>
    <w:p w14:paraId="5D3C19FD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В случае заместительной поддерживающей терапии при гипотиреозе, а также после струмэктомии или тиреоидэктомии и при профилактике рецидива после удаления эутиреоидного зоба препарат принимают, как правило, в течение всей жизни. Сопутствующее лечение гипертиреоза после достижения эутиреоидного статуса показано на срок, в течение которого применяется антитиреоидный препарат.</w:t>
      </w:r>
    </w:p>
    <w:p w14:paraId="65BDF18C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При доброкачественном эутиреоидном зобе длительность лечения составляет от 6 месяцев до 2 лет. Если лечения в течение указанного периода оказывается недостаточно, следует рассмотреть возможность хирургического вмешательства или лечения зоба радиоактивным йодом.</w:t>
      </w:r>
    </w:p>
    <w:p w14:paraId="42E8849D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i/>
          <w:iCs/>
          <w:sz w:val="28"/>
          <w:szCs w:val="28"/>
        </w:rPr>
      </w:pPr>
      <w:r w:rsidRPr="007317C7">
        <w:rPr>
          <w:rFonts w:ascii="Times New Roman" w:hAnsi="Times New Roman"/>
          <w:i/>
          <w:iCs/>
          <w:sz w:val="28"/>
          <w:szCs w:val="28"/>
        </w:rPr>
        <w:t>Особые группы пациентов</w:t>
      </w:r>
    </w:p>
    <w:p w14:paraId="6D34656E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Пожилым пациентам, пациентам с ишемической болезнью сердца, и пациентам с тяжелым или давно существующим гипотиреозом лечение необходимо начинать с низких доз (например, 12,5 мкг/сутки) и медленным их увеличением через продолжительные интервалы (например, постепенное увеличение дозы раз в две недели на 12,5 мкг/сутки) с частым мониторингом тиреоидных гормонов. Поэтому таким пациентам возможно рассмотреть назначение меньшей дозы, не обеспечивающей полной заместительной терапии, которая не будет приводить к полной коррекции уровня ТТГ.</w:t>
      </w:r>
    </w:p>
    <w:p w14:paraId="0E242A78" w14:textId="77777777" w:rsidR="00535BC0" w:rsidRPr="007317C7" w:rsidRDefault="00535BC0" w:rsidP="00535BC0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317C7">
        <w:rPr>
          <w:rFonts w:ascii="Times New Roman" w:hAnsi="Times New Roman"/>
          <w:i/>
          <w:iCs/>
          <w:sz w:val="28"/>
          <w:szCs w:val="28"/>
          <w:lang w:bidi="ru-RU"/>
        </w:rPr>
        <w:t xml:space="preserve">Дети </w:t>
      </w:r>
    </w:p>
    <w:p w14:paraId="1C7DFAAA" w14:textId="77777777" w:rsidR="00535BC0" w:rsidRPr="007317C7" w:rsidRDefault="00535BC0" w:rsidP="00535BC0">
      <w:pPr>
        <w:pStyle w:val="ac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Для новорожденных и детей с врожденным гипотиреозом, когда важна быстрая заместительная терапия, начальная рекомендуемая доза </w:t>
      </w:r>
      <w:r w:rsidRPr="007317C7">
        <w:rPr>
          <w:rFonts w:ascii="Times New Roman" w:hAnsi="Times New Roman"/>
          <w:sz w:val="28"/>
          <w:szCs w:val="28"/>
        </w:rPr>
        <w:lastRenderedPageBreak/>
        <w:t>составляет 10-15 мкг/кг массы тела в сутки в течение первых 3 месяцев. Затем следует корректировать дозу на индивидуальной основе в зависимости от клинических результатов, уровня ТТГ и тиреоидных гормонов.</w:t>
      </w:r>
    </w:p>
    <w:p w14:paraId="280600A9" w14:textId="77777777" w:rsidR="007C3E0C" w:rsidRPr="007317C7" w:rsidRDefault="007C3E0C" w:rsidP="00172C77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731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Метод и путь введения</w:t>
      </w:r>
      <w:r w:rsidRPr="007317C7">
        <w:rPr>
          <w:rFonts w:ascii="Times New Roman" w:hAnsi="Times New Roman"/>
          <w:i/>
          <w:color w:val="000000"/>
          <w:sz w:val="24"/>
        </w:rPr>
        <w:t xml:space="preserve"> </w:t>
      </w:r>
    </w:p>
    <w:p w14:paraId="09541004" w14:textId="77777777" w:rsidR="00E503EF" w:rsidRPr="007317C7" w:rsidRDefault="00E503EF" w:rsidP="00E503E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" w:name="2175220276"/>
      <w:bookmarkEnd w:id="1"/>
      <w:r w:rsidRPr="007317C7">
        <w:rPr>
          <w:rFonts w:ascii="Times New Roman" w:hAnsi="Times New Roman"/>
          <w:color w:val="000000"/>
          <w:sz w:val="28"/>
          <w:szCs w:val="28"/>
        </w:rPr>
        <w:t>Для приема внутрь.</w:t>
      </w:r>
    </w:p>
    <w:p w14:paraId="78F71AE7" w14:textId="77777777" w:rsidR="00E503EF" w:rsidRPr="007317C7" w:rsidRDefault="00E503EF" w:rsidP="00E503E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317C7">
        <w:rPr>
          <w:rFonts w:ascii="Times New Roman" w:hAnsi="Times New Roman"/>
          <w:i/>
          <w:iCs/>
          <w:color w:val="000000"/>
          <w:sz w:val="28"/>
          <w:szCs w:val="28"/>
        </w:rPr>
        <w:t>Взрослым</w:t>
      </w:r>
    </w:p>
    <w:p w14:paraId="3AD00BA0" w14:textId="77777777" w:rsidR="00E503EF" w:rsidRPr="007317C7" w:rsidRDefault="00E503EF" w:rsidP="00E50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Одна суточная доза утром натощак, за 30 минут до завтрака, предпочтительно с небольшим количеством воды (полстакана воды).</w:t>
      </w:r>
    </w:p>
    <w:p w14:paraId="5A5ACEC4" w14:textId="77777777" w:rsidR="00E503EF" w:rsidRPr="007317C7" w:rsidRDefault="00E503EF" w:rsidP="00E503EF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7317C7">
        <w:rPr>
          <w:rFonts w:ascii="Times New Roman" w:hAnsi="Times New Roman"/>
          <w:i/>
          <w:iCs/>
          <w:sz w:val="28"/>
          <w:szCs w:val="28"/>
        </w:rPr>
        <w:t>Детям</w:t>
      </w:r>
    </w:p>
    <w:p w14:paraId="68BB26A4" w14:textId="77777777" w:rsidR="00E503EF" w:rsidRPr="007317C7" w:rsidRDefault="00E503EF" w:rsidP="00E503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Младенцам и детям суточную дозу дают в один прием за 30 минут до первого утреннего кормления. Таблетки растворяют в воде, получившаяся суспензия принимается еще с некоторым количеством воды. Суспензия должна быть свежеприготовлена для каждого приема.</w:t>
      </w:r>
    </w:p>
    <w:p w14:paraId="6EC661EE" w14:textId="77777777" w:rsidR="00F467F4" w:rsidRPr="007317C7" w:rsidRDefault="00F467F4" w:rsidP="00172C77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r w:rsidRPr="00731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Частота применения с указанием времени приема</w:t>
      </w:r>
      <w:r w:rsidRPr="007317C7">
        <w:rPr>
          <w:rFonts w:ascii="Times New Roman" w:hAnsi="Times New Roman"/>
          <w:i/>
          <w:color w:val="000000"/>
          <w:sz w:val="24"/>
        </w:rPr>
        <w:t xml:space="preserve"> </w:t>
      </w:r>
    </w:p>
    <w:p w14:paraId="4BA7C712" w14:textId="77777777" w:rsidR="00F467F4" w:rsidRPr="007317C7" w:rsidRDefault="00F467F4" w:rsidP="00172C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bookmarkStart w:id="4" w:name="2175220277"/>
      <w:bookmarkEnd w:id="3"/>
      <w:r w:rsidRPr="007317C7">
        <w:rPr>
          <w:rFonts w:ascii="Times New Roman" w:hAnsi="Times New Roman"/>
          <w:sz w:val="28"/>
          <w:szCs w:val="28"/>
        </w:rPr>
        <w:t>Суточные дозы могут приниматься в один прием.</w:t>
      </w:r>
      <w:r w:rsidRPr="007317C7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 </w:t>
      </w:r>
    </w:p>
    <w:p w14:paraId="7E8CCEAF" w14:textId="77777777" w:rsidR="00F467F4" w:rsidRPr="007317C7" w:rsidRDefault="00F467F4" w:rsidP="00172C77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</w:rPr>
      </w:pPr>
      <w:bookmarkStart w:id="5" w:name="2175220278"/>
      <w:bookmarkEnd w:id="4"/>
      <w:r w:rsidRPr="00731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Меры, которые необходимо принять в случае передозировки</w:t>
      </w:r>
      <w:r w:rsidRPr="007317C7">
        <w:rPr>
          <w:rFonts w:ascii="Times New Roman" w:hAnsi="Times New Roman"/>
          <w:i/>
          <w:color w:val="000000"/>
          <w:sz w:val="24"/>
        </w:rPr>
        <w:t xml:space="preserve"> </w:t>
      </w:r>
    </w:p>
    <w:bookmarkEnd w:id="5"/>
    <w:p w14:paraId="7AE204E9" w14:textId="77777777" w:rsidR="009A1DDB" w:rsidRPr="007317C7" w:rsidRDefault="009A1DDB" w:rsidP="009A1DDB">
      <w:pPr>
        <w:pStyle w:val="emea"/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 xml:space="preserve">В качестве показателя передозировки повышение уровня </w:t>
      </w:r>
      <w:r w:rsidRPr="007317C7">
        <w:rPr>
          <w:sz w:val="28"/>
          <w:szCs w:val="28"/>
          <w:lang w:val="en-GB"/>
        </w:rPr>
        <w:t>T</w:t>
      </w:r>
      <w:r w:rsidRPr="007317C7">
        <w:rPr>
          <w:sz w:val="28"/>
          <w:szCs w:val="28"/>
          <w:vertAlign w:val="subscript"/>
          <w:lang w:val="ru-RU"/>
        </w:rPr>
        <w:t>3</w:t>
      </w:r>
      <w:r w:rsidRPr="007317C7">
        <w:rPr>
          <w:sz w:val="28"/>
          <w:szCs w:val="28"/>
          <w:lang w:val="ru-RU"/>
        </w:rPr>
        <w:t xml:space="preserve"> является более достоверным, чем повышение уровня </w:t>
      </w:r>
      <w:r w:rsidRPr="007317C7">
        <w:rPr>
          <w:sz w:val="28"/>
          <w:szCs w:val="28"/>
          <w:lang w:val="en-GB"/>
        </w:rPr>
        <w:t>T</w:t>
      </w:r>
      <w:r w:rsidRPr="007317C7">
        <w:rPr>
          <w:sz w:val="28"/>
          <w:szCs w:val="28"/>
          <w:vertAlign w:val="subscript"/>
          <w:lang w:val="ru-RU"/>
        </w:rPr>
        <w:t>4</w:t>
      </w:r>
      <w:r w:rsidRPr="007317C7">
        <w:rPr>
          <w:sz w:val="28"/>
          <w:szCs w:val="28"/>
          <w:lang w:val="ru-RU"/>
        </w:rPr>
        <w:t xml:space="preserve"> или с</w:t>
      </w:r>
      <w:r w:rsidRPr="007317C7">
        <w:rPr>
          <w:sz w:val="28"/>
          <w:szCs w:val="28"/>
          <w:lang w:val="en-GB"/>
        </w:rPr>
        <w:t>T</w:t>
      </w:r>
      <w:r w:rsidRPr="007317C7">
        <w:rPr>
          <w:sz w:val="28"/>
          <w:szCs w:val="28"/>
          <w:vertAlign w:val="subscript"/>
          <w:lang w:val="ru-RU"/>
        </w:rPr>
        <w:t>4</w:t>
      </w:r>
      <w:r w:rsidRPr="007317C7">
        <w:rPr>
          <w:sz w:val="28"/>
          <w:szCs w:val="28"/>
          <w:lang w:val="ru-RU"/>
        </w:rPr>
        <w:t>.</w:t>
      </w:r>
    </w:p>
    <w:p w14:paraId="4BE349DE" w14:textId="77777777" w:rsidR="009A1DDB" w:rsidRPr="007317C7" w:rsidRDefault="009A1DDB" w:rsidP="009A1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В случае передозировки и интоксикации возникают симптомы, характерные для умеренного или значительного ускорения метаболизма. В зависимости от степени передозировки рекомендуется прекратить прием препарата и пройти контрольное обследование.</w:t>
      </w:r>
    </w:p>
    <w:p w14:paraId="6995A0CA" w14:textId="77777777" w:rsidR="009A1DDB" w:rsidRPr="007317C7" w:rsidRDefault="009A1DDB" w:rsidP="009A1D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Симптомы, состоящие из интенсивных бета-симпатомиметических эффектов, таких как тахикардия, тревога, возбуждение и гиперкинезия, могут быть купированы бета-блокаторами. После экстремально высоких доз может помочь плазмаферез.</w:t>
      </w:r>
    </w:p>
    <w:p w14:paraId="2C4648BD" w14:textId="77777777" w:rsidR="009A1DDB" w:rsidRPr="007317C7" w:rsidRDefault="009A1DDB" w:rsidP="009A1DDB">
      <w:pPr>
        <w:pStyle w:val="emea"/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>У предрасположенных пациентов были зарегистрированы единичные случаи судорог при превышении индивидуального предела переносимости дозы.</w:t>
      </w:r>
    </w:p>
    <w:p w14:paraId="1F614EF5" w14:textId="77777777" w:rsidR="009A1DDB" w:rsidRPr="007317C7" w:rsidRDefault="009A1DDB" w:rsidP="009A1DDB">
      <w:pPr>
        <w:pStyle w:val="emea"/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>Передозировка левотироксина может привести к гипертиреозу и к симптомам острого психоза, особенно у пациентов с риском психотических расстройств. Имеются отдельные сообщения о внезапной сердечной смерти у пациентов с многолетним злоупотреблением левотироксина в анамнезе.</w:t>
      </w:r>
    </w:p>
    <w:p w14:paraId="731ECDBD" w14:textId="77777777" w:rsidR="005C4B12" w:rsidRPr="007317C7" w:rsidRDefault="005C4B12" w:rsidP="00172C7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17C7">
        <w:rPr>
          <w:rFonts w:ascii="Times New Roman" w:hAnsi="Times New Roman"/>
          <w:b/>
          <w:i/>
          <w:color w:val="000000"/>
          <w:sz w:val="28"/>
          <w:szCs w:val="28"/>
        </w:rPr>
        <w:t>Рекоменд</w:t>
      </w:r>
      <w:r w:rsidR="00871858" w:rsidRPr="007317C7">
        <w:rPr>
          <w:rFonts w:ascii="Times New Roman" w:hAnsi="Times New Roman"/>
          <w:b/>
          <w:i/>
          <w:color w:val="000000"/>
          <w:sz w:val="28"/>
          <w:szCs w:val="28"/>
        </w:rPr>
        <w:t>уется о</w:t>
      </w:r>
      <w:r w:rsidRPr="007317C7">
        <w:rPr>
          <w:rFonts w:ascii="Times New Roman" w:hAnsi="Times New Roman"/>
          <w:b/>
          <w:i/>
          <w:color w:val="000000"/>
          <w:sz w:val="28"/>
          <w:szCs w:val="28"/>
        </w:rPr>
        <w:t>бра</w:t>
      </w:r>
      <w:r w:rsidR="00871858" w:rsidRPr="007317C7">
        <w:rPr>
          <w:rFonts w:ascii="Times New Roman" w:hAnsi="Times New Roman"/>
          <w:b/>
          <w:i/>
          <w:color w:val="000000"/>
          <w:sz w:val="28"/>
          <w:szCs w:val="28"/>
        </w:rPr>
        <w:t xml:space="preserve">титься </w:t>
      </w:r>
      <w:r w:rsidRPr="007317C7">
        <w:rPr>
          <w:rFonts w:ascii="Times New Roman" w:hAnsi="Times New Roman"/>
          <w:b/>
          <w:i/>
          <w:color w:val="000000"/>
          <w:sz w:val="28"/>
          <w:szCs w:val="28"/>
        </w:rPr>
        <w:t>за консультацией к медицинскому работнику для разъяснения способа применения лекарственного препарата</w:t>
      </w:r>
    </w:p>
    <w:bookmarkEnd w:id="2"/>
    <w:p w14:paraId="7FC7C976" w14:textId="77777777" w:rsidR="00A12563" w:rsidRPr="007317C7" w:rsidRDefault="00A12563" w:rsidP="00172C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E88B32C" w14:textId="77777777" w:rsidR="001937AD" w:rsidRPr="007317C7" w:rsidRDefault="001937AD" w:rsidP="00172C7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bookmarkStart w:id="6" w:name="2175220282"/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Описание нежелательных реакций</w:t>
      </w:r>
      <w:r w:rsidR="005C4B12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7317C7">
        <w:rPr>
          <w:rFonts w:ascii="Times New Roman" w:hAnsi="Times New Roman"/>
          <w:b/>
          <w:color w:val="000000"/>
          <w:sz w:val="28"/>
          <w:szCs w:val="28"/>
        </w:rPr>
        <w:t xml:space="preserve">которые проявляются при стандартном применении ЛП и меры, которые следует принять в этом случае </w:t>
      </w:r>
    </w:p>
    <w:bookmarkEnd w:id="6"/>
    <w:p w14:paraId="4D4E69D6" w14:textId="77777777" w:rsidR="003074F9" w:rsidRPr="007317C7" w:rsidRDefault="003074F9" w:rsidP="003074F9">
      <w:pPr>
        <w:pStyle w:val="emea"/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lastRenderedPageBreak/>
        <w:t>В отдельных случаях при непереносимости препарата в определенной дозе или в случаях передозировки, в особенности в результате слишком быстрого повышения дозы в начале лечения, могут возникать типичные симптомы гипертиреоза. В подобных случаях следует либо снизить суточную дозу препарата, либо отменить его на несколько дней. Сразу после исчезновения нежелательного явления лечение может быть возобновлено с осторожным подбором дозы.</w:t>
      </w:r>
    </w:p>
    <w:p w14:paraId="543F2230" w14:textId="77777777" w:rsidR="003074F9" w:rsidRPr="007317C7" w:rsidRDefault="003074F9" w:rsidP="003074F9">
      <w:pPr>
        <w:pStyle w:val="emea"/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 xml:space="preserve">При гиперчувствительности к левотироксину или к любому из вспомогательных веществ препарата Роджитирокс возможны аллергические реакции со стороны кожных покровов (напр., сыпь, крапивница) и дыхательных путей. Имеются отдельные сообщения о развитии ангионевротического отека. </w:t>
      </w:r>
    </w:p>
    <w:p w14:paraId="150F776A" w14:textId="77777777" w:rsidR="003074F9" w:rsidRPr="007317C7" w:rsidRDefault="003074F9" w:rsidP="003074F9">
      <w:pPr>
        <w:pStyle w:val="SPCnormal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>сердечная аритмия (например, мерцательная аритмия и экстрасистолы), тахикардия, сердцебиение, стенокардия</w:t>
      </w:r>
    </w:p>
    <w:p w14:paraId="0D64C72C" w14:textId="77777777" w:rsidR="003074F9" w:rsidRPr="007317C7" w:rsidRDefault="003074F9" w:rsidP="003074F9">
      <w:pPr>
        <w:pStyle w:val="SPCnormal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>головная боль</w:t>
      </w:r>
    </w:p>
    <w:p w14:paraId="6E399628" w14:textId="77777777" w:rsidR="003074F9" w:rsidRPr="007317C7" w:rsidRDefault="003074F9" w:rsidP="003074F9">
      <w:pPr>
        <w:pStyle w:val="SPCnormal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 xml:space="preserve">мышечная слабость и судороги </w:t>
      </w:r>
    </w:p>
    <w:p w14:paraId="32427F0F" w14:textId="77777777" w:rsidR="003074F9" w:rsidRPr="007317C7" w:rsidRDefault="003074F9" w:rsidP="003074F9">
      <w:pPr>
        <w:pStyle w:val="SPCnormal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 xml:space="preserve">гиперемия, жар </w:t>
      </w:r>
    </w:p>
    <w:p w14:paraId="3C11261C" w14:textId="77777777" w:rsidR="003074F9" w:rsidRPr="007317C7" w:rsidRDefault="003074F9" w:rsidP="003074F9">
      <w:pPr>
        <w:pStyle w:val="SPCnormal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 xml:space="preserve">рвота, диарея </w:t>
      </w:r>
    </w:p>
    <w:p w14:paraId="78EFDAD5" w14:textId="77777777" w:rsidR="003074F9" w:rsidRPr="007317C7" w:rsidRDefault="003074F9" w:rsidP="003074F9">
      <w:pPr>
        <w:pStyle w:val="SPCnormal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>нарушение менструального цикла</w:t>
      </w:r>
    </w:p>
    <w:p w14:paraId="24AB1557" w14:textId="77777777" w:rsidR="003074F9" w:rsidRPr="007317C7" w:rsidRDefault="003074F9" w:rsidP="003074F9">
      <w:pPr>
        <w:pStyle w:val="SPCnormal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>доброкачественная внутричерепная гипертензия, тремор, беспокойство, нарушение сна</w:t>
      </w:r>
    </w:p>
    <w:p w14:paraId="525E7D1A" w14:textId="77777777" w:rsidR="003074F9" w:rsidRPr="007317C7" w:rsidRDefault="003074F9" w:rsidP="003074F9">
      <w:pPr>
        <w:pStyle w:val="SPCnormal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>чрезмерное потоотделение</w:t>
      </w:r>
    </w:p>
    <w:p w14:paraId="0DF227C3" w14:textId="77777777" w:rsidR="003074F9" w:rsidRPr="007317C7" w:rsidRDefault="003074F9" w:rsidP="003074F9">
      <w:pPr>
        <w:pStyle w:val="SPCnormal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>снижение массы тела</w:t>
      </w:r>
    </w:p>
    <w:p w14:paraId="1DEC2B19" w14:textId="77777777" w:rsidR="002C67D7" w:rsidRPr="007317C7" w:rsidRDefault="003074F9" w:rsidP="00172C77">
      <w:pPr>
        <w:pStyle w:val="SPCnormal"/>
        <w:numPr>
          <w:ilvl w:val="0"/>
          <w:numId w:val="26"/>
        </w:numPr>
        <w:jc w:val="both"/>
        <w:rPr>
          <w:sz w:val="28"/>
          <w:szCs w:val="28"/>
          <w:lang w:val="ru-RU"/>
        </w:rPr>
      </w:pPr>
      <w:r w:rsidRPr="007317C7">
        <w:rPr>
          <w:sz w:val="28"/>
          <w:szCs w:val="28"/>
          <w:lang w:val="ru-RU"/>
        </w:rPr>
        <w:t>реакции гиперчувствительности (ангионевротический отек и т.д.)</w:t>
      </w:r>
    </w:p>
    <w:p w14:paraId="083E2DF6" w14:textId="77777777" w:rsidR="0041162E" w:rsidRPr="007317C7" w:rsidRDefault="0041162E" w:rsidP="00172C77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475DB9B" w14:textId="77777777" w:rsidR="00827BB2" w:rsidRPr="007317C7" w:rsidRDefault="00827BB2" w:rsidP="00172C77">
      <w:pPr>
        <w:pStyle w:val="ac"/>
        <w:jc w:val="both"/>
        <w:rPr>
          <w:rFonts w:ascii="Times New Roman" w:hAnsi="Times New Roman"/>
          <w:i/>
          <w:color w:val="000000"/>
          <w:sz w:val="28"/>
        </w:rPr>
      </w:pPr>
      <w:r w:rsidRPr="007317C7">
        <w:rPr>
          <w:rFonts w:ascii="Times New Roman" w:hAnsi="Times New Roman"/>
          <w:b/>
          <w:color w:val="000000"/>
          <w:sz w:val="28"/>
        </w:rPr>
        <w:t>П</w:t>
      </w:r>
      <w:r w:rsidR="00D93C80" w:rsidRPr="007317C7">
        <w:rPr>
          <w:rFonts w:ascii="Times New Roman" w:hAnsi="Times New Roman"/>
          <w:b/>
          <w:color w:val="000000"/>
          <w:sz w:val="28"/>
        </w:rPr>
        <w:t xml:space="preserve">ри возникновении </w:t>
      </w:r>
      <w:r w:rsidR="006703A5" w:rsidRPr="007317C7">
        <w:rPr>
          <w:rFonts w:ascii="Times New Roman" w:hAnsi="Times New Roman"/>
          <w:b/>
          <w:color w:val="000000"/>
          <w:sz w:val="28"/>
        </w:rPr>
        <w:t>нежелательных</w:t>
      </w:r>
      <w:r w:rsidR="00D93C80" w:rsidRPr="007317C7">
        <w:rPr>
          <w:rFonts w:ascii="Times New Roman" w:hAnsi="Times New Roman"/>
          <w:b/>
          <w:color w:val="000000"/>
          <w:sz w:val="28"/>
        </w:rPr>
        <w:t xml:space="preserve"> лекарственных реакций обращаться к медицинскому работнику, фармацевтическому работнику или напрямую в информационную базу данных по нежелательным реакциям (действиям) на лекарственные препараты, включая сообщения о неэффективности лекарственных препаратов</w:t>
      </w:r>
      <w:r w:rsidR="00844CE8" w:rsidRPr="007317C7">
        <w:rPr>
          <w:rFonts w:ascii="Times New Roman" w:hAnsi="Times New Roman"/>
          <w:b/>
          <w:color w:val="000000"/>
          <w:sz w:val="28"/>
        </w:rPr>
        <w:t xml:space="preserve"> </w:t>
      </w:r>
    </w:p>
    <w:p w14:paraId="4876ADB6" w14:textId="77777777" w:rsidR="006703A5" w:rsidRPr="007317C7" w:rsidRDefault="006703A5" w:rsidP="00172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 xml:space="preserve">РГП на ПХВ «Национальный Центр экспертизы лекарственных средств и медицинских изделий» </w:t>
      </w:r>
      <w:r w:rsidR="007A7348" w:rsidRPr="007317C7">
        <w:rPr>
          <w:rFonts w:ascii="Times New Roman" w:hAnsi="Times New Roman"/>
          <w:sz w:val="28"/>
          <w:szCs w:val="28"/>
        </w:rPr>
        <w:t xml:space="preserve">Комитета медицинского и фармацевтического контроля </w:t>
      </w:r>
      <w:r w:rsidRPr="007317C7">
        <w:rPr>
          <w:rFonts w:ascii="Times New Roman" w:hAnsi="Times New Roman"/>
          <w:sz w:val="28"/>
          <w:szCs w:val="28"/>
        </w:rPr>
        <w:t>Министерства здравоохранения Республики Казахстан</w:t>
      </w:r>
    </w:p>
    <w:p w14:paraId="0BF3083F" w14:textId="77777777" w:rsidR="006703A5" w:rsidRPr="007317C7" w:rsidRDefault="00C01181" w:rsidP="00172C77">
      <w:pPr>
        <w:keepNext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="006703A5"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http</w:t>
        </w:r>
        <w:r w:rsidR="006703A5" w:rsidRPr="007317C7">
          <w:rPr>
            <w:rStyle w:val="af"/>
            <w:rFonts w:ascii="Times New Roman" w:hAnsi="Times New Roman"/>
            <w:sz w:val="28"/>
            <w:szCs w:val="28"/>
          </w:rPr>
          <w:t>://</w:t>
        </w:r>
        <w:r w:rsidR="006703A5"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www</w:t>
        </w:r>
        <w:r w:rsidR="006703A5" w:rsidRPr="007317C7">
          <w:rPr>
            <w:rStyle w:val="af"/>
            <w:rFonts w:ascii="Times New Roman" w:hAnsi="Times New Roman"/>
            <w:sz w:val="28"/>
            <w:szCs w:val="28"/>
          </w:rPr>
          <w:t>.</w:t>
        </w:r>
        <w:r w:rsidR="006703A5"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ndda</w:t>
        </w:r>
        <w:r w:rsidR="006703A5" w:rsidRPr="007317C7">
          <w:rPr>
            <w:rStyle w:val="af"/>
            <w:rFonts w:ascii="Times New Roman" w:hAnsi="Times New Roman"/>
            <w:sz w:val="28"/>
            <w:szCs w:val="28"/>
          </w:rPr>
          <w:t>.</w:t>
        </w:r>
        <w:r w:rsidR="006703A5"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kz</w:t>
        </w:r>
      </w:hyperlink>
    </w:p>
    <w:p w14:paraId="0590064C" w14:textId="77777777" w:rsidR="006703A5" w:rsidRPr="007317C7" w:rsidRDefault="006703A5" w:rsidP="00172C77">
      <w:pPr>
        <w:pStyle w:val="ac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14E47F0" w14:textId="77777777" w:rsidR="000C2C4B" w:rsidRPr="007317C7" w:rsidRDefault="000C2C4B" w:rsidP="00172C77">
      <w:pPr>
        <w:pStyle w:val="ac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Дополнительные сведения</w:t>
      </w:r>
    </w:p>
    <w:p w14:paraId="332A69C0" w14:textId="77777777" w:rsidR="006B7A90" w:rsidRPr="007317C7" w:rsidRDefault="00844CE8" w:rsidP="00172C77">
      <w:pPr>
        <w:spacing w:after="0" w:line="240" w:lineRule="auto"/>
        <w:jc w:val="both"/>
        <w:rPr>
          <w:rFonts w:ascii="Times New Roman" w:hAnsi="Times New Roman"/>
          <w:i/>
        </w:rPr>
      </w:pPr>
      <w:bookmarkStart w:id="7" w:name="2175220285"/>
      <w:r w:rsidRPr="00731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Состав лекарственного препарата</w:t>
      </w:r>
      <w:r w:rsidR="00C379C9" w:rsidRPr="00731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 xml:space="preserve"> </w:t>
      </w:r>
    </w:p>
    <w:p w14:paraId="7D27C0FD" w14:textId="77777777" w:rsidR="006B7A90" w:rsidRPr="007317C7" w:rsidRDefault="006B7A90" w:rsidP="00172C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bookmarkStart w:id="8" w:name="2175220286"/>
      <w:bookmarkEnd w:id="7"/>
      <w:r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>Одна таблетка</w:t>
      </w:r>
      <w:r w:rsidR="00E2697C"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содержит </w:t>
      </w:r>
    </w:p>
    <w:p w14:paraId="7923B83C" w14:textId="77777777" w:rsidR="00985A7D" w:rsidRPr="007317C7" w:rsidRDefault="00844CE8" w:rsidP="00172C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активное вещество </w:t>
      </w:r>
      <w:r w:rsidR="00E2697C" w:rsidRPr="007317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–</w:t>
      </w:r>
      <w:r w:rsidRPr="007317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E2697C" w:rsidRPr="007317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левотироксин </w:t>
      </w:r>
      <w:r w:rsidR="005056B9" w:rsidRPr="007317C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натрия</w:t>
      </w:r>
      <w:r w:rsidR="005056B9" w:rsidRPr="007317C7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 xml:space="preserve"> </w:t>
      </w:r>
      <w:r w:rsidR="005056B9"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>0.025</w:t>
      </w:r>
      <w:r w:rsidR="00985A7D"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мг, </w:t>
      </w:r>
      <w:r w:rsidR="00E2697C"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>0.050</w:t>
      </w:r>
      <w:r w:rsidR="00985A7D"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мг, </w:t>
      </w:r>
      <w:r w:rsidR="00E2697C"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0.075</w:t>
      </w:r>
      <w:r w:rsidR="00985A7D"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мг</w:t>
      </w:r>
    </w:p>
    <w:p w14:paraId="6A5FC3DD" w14:textId="77777777" w:rsidR="00844CE8" w:rsidRPr="007317C7" w:rsidRDefault="00985A7D" w:rsidP="00172C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и</w:t>
      </w:r>
      <w:r w:rsidR="003074F9"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ли </w:t>
      </w:r>
      <w:r w:rsidR="00E2697C"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>0.100</w:t>
      </w:r>
      <w:r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мг</w:t>
      </w:r>
      <w:r w:rsidR="003074F9"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соответственно</w:t>
      </w:r>
      <w:r w:rsidRPr="007317C7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76E9EF0A" w14:textId="77777777" w:rsidR="0034500D" w:rsidRPr="007317C7" w:rsidRDefault="006B7A90" w:rsidP="00172C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i/>
          <w:iCs/>
          <w:sz w:val="28"/>
          <w:szCs w:val="28"/>
        </w:rPr>
        <w:t>вспомогательн</w:t>
      </w:r>
      <w:r w:rsidR="00985A7D" w:rsidRPr="007317C7">
        <w:rPr>
          <w:rFonts w:ascii="Times New Roman" w:hAnsi="Times New Roman"/>
          <w:i/>
          <w:iCs/>
          <w:sz w:val="28"/>
          <w:szCs w:val="28"/>
        </w:rPr>
        <w:t>ые</w:t>
      </w:r>
      <w:r w:rsidRPr="007317C7">
        <w:rPr>
          <w:rFonts w:ascii="Times New Roman" w:hAnsi="Times New Roman"/>
          <w:i/>
          <w:iCs/>
          <w:sz w:val="28"/>
          <w:szCs w:val="28"/>
        </w:rPr>
        <w:t xml:space="preserve"> веществ</w:t>
      </w:r>
      <w:r w:rsidR="00985A7D" w:rsidRPr="007317C7">
        <w:rPr>
          <w:rFonts w:ascii="Times New Roman" w:hAnsi="Times New Roman"/>
          <w:i/>
          <w:iCs/>
          <w:sz w:val="28"/>
          <w:szCs w:val="28"/>
        </w:rPr>
        <w:t>а</w:t>
      </w:r>
      <w:r w:rsidR="0034500D" w:rsidRPr="007317C7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="0034500D" w:rsidRPr="007317C7">
        <w:rPr>
          <w:rFonts w:ascii="Times New Roman" w:hAnsi="Times New Roman"/>
          <w:sz w:val="28"/>
          <w:szCs w:val="28"/>
        </w:rPr>
        <w:t xml:space="preserve">целлюлоза микрокристаллическая, крахмал прежелатинизированный, кремния диоксид коллоидный, тальк, магния стеарат, </w:t>
      </w:r>
      <w:r w:rsidR="000368A1" w:rsidRPr="007317C7">
        <w:rPr>
          <w:rFonts w:ascii="Times New Roman" w:hAnsi="Times New Roman"/>
          <w:sz w:val="28"/>
          <w:szCs w:val="28"/>
        </w:rPr>
        <w:t>краситель FD&amp;C желтый №6 алюминиевый лак</w:t>
      </w:r>
      <w:r w:rsidR="003074F9" w:rsidRPr="007317C7">
        <w:rPr>
          <w:rFonts w:ascii="Times New Roman" w:hAnsi="Times New Roman"/>
          <w:sz w:val="28"/>
          <w:szCs w:val="28"/>
        </w:rPr>
        <w:t xml:space="preserve"> (Е</w:t>
      </w:r>
      <w:r w:rsidR="00957322" w:rsidRPr="007317C7">
        <w:rPr>
          <w:rFonts w:ascii="Times New Roman" w:hAnsi="Times New Roman"/>
          <w:sz w:val="28"/>
          <w:szCs w:val="28"/>
        </w:rPr>
        <w:t xml:space="preserve"> </w:t>
      </w:r>
      <w:r w:rsidR="003074F9" w:rsidRPr="007317C7">
        <w:rPr>
          <w:rFonts w:ascii="Times New Roman" w:hAnsi="Times New Roman"/>
          <w:sz w:val="28"/>
          <w:szCs w:val="28"/>
        </w:rPr>
        <w:t>110)</w:t>
      </w:r>
      <w:r w:rsidR="000368A1" w:rsidRPr="007317C7">
        <w:rPr>
          <w:rFonts w:ascii="Times New Roman" w:hAnsi="Times New Roman"/>
          <w:sz w:val="28"/>
          <w:szCs w:val="28"/>
        </w:rPr>
        <w:t xml:space="preserve"> (для </w:t>
      </w:r>
      <w:r w:rsidR="000368A1" w:rsidRPr="007317C7">
        <w:rPr>
          <w:rFonts w:ascii="Times New Roman" w:hAnsi="Times New Roman"/>
          <w:sz w:val="28"/>
          <w:szCs w:val="28"/>
        </w:rPr>
        <w:lastRenderedPageBreak/>
        <w:t>дозировки 25 мкг и 100 мкг), краситель D&amp;C голубой №2 алюминиевый лак</w:t>
      </w:r>
      <w:r w:rsidR="003074F9" w:rsidRPr="007317C7">
        <w:rPr>
          <w:rFonts w:ascii="Times New Roman" w:hAnsi="Times New Roman"/>
          <w:sz w:val="28"/>
          <w:szCs w:val="28"/>
        </w:rPr>
        <w:t xml:space="preserve"> (Е 132)</w:t>
      </w:r>
      <w:r w:rsidR="000368A1" w:rsidRPr="007317C7">
        <w:rPr>
          <w:rFonts w:ascii="Times New Roman" w:hAnsi="Times New Roman"/>
          <w:sz w:val="28"/>
          <w:szCs w:val="28"/>
        </w:rPr>
        <w:t xml:space="preserve"> (для дозировки 75 мкг), краситель FD&amp;C голубой №40 алюминиевый лак</w:t>
      </w:r>
      <w:r w:rsidR="00927276" w:rsidRPr="007317C7">
        <w:rPr>
          <w:rFonts w:ascii="Times New Roman" w:hAnsi="Times New Roman"/>
          <w:sz w:val="28"/>
          <w:szCs w:val="28"/>
        </w:rPr>
        <w:t xml:space="preserve"> (Е 129)</w:t>
      </w:r>
      <w:r w:rsidR="000368A1" w:rsidRPr="007317C7">
        <w:rPr>
          <w:rFonts w:ascii="Times New Roman" w:hAnsi="Times New Roman"/>
          <w:sz w:val="28"/>
          <w:szCs w:val="28"/>
        </w:rPr>
        <w:t xml:space="preserve"> (для дозировки 75 мкг), краситель D&amp;C желтый №10 алюминиевый лак</w:t>
      </w:r>
      <w:r w:rsidR="00927276" w:rsidRPr="007317C7">
        <w:rPr>
          <w:rFonts w:ascii="Times New Roman" w:hAnsi="Times New Roman"/>
          <w:sz w:val="28"/>
          <w:szCs w:val="28"/>
        </w:rPr>
        <w:t xml:space="preserve"> (Е 104)</w:t>
      </w:r>
      <w:r w:rsidR="000368A1" w:rsidRPr="007317C7">
        <w:rPr>
          <w:rFonts w:ascii="Times New Roman" w:hAnsi="Times New Roman"/>
          <w:sz w:val="28"/>
          <w:szCs w:val="28"/>
        </w:rPr>
        <w:t xml:space="preserve"> (для дозировки 100 мкг)</w:t>
      </w:r>
      <w:r w:rsidR="009B7A15" w:rsidRPr="007317C7">
        <w:rPr>
          <w:rFonts w:ascii="Times New Roman" w:hAnsi="Times New Roman"/>
          <w:sz w:val="28"/>
          <w:szCs w:val="28"/>
        </w:rPr>
        <w:t>.</w:t>
      </w:r>
    </w:p>
    <w:p w14:paraId="07845935" w14:textId="77777777" w:rsidR="000F4CB3" w:rsidRPr="007317C7" w:rsidRDefault="000F4CB3" w:rsidP="00172C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7B5F026B" w14:textId="77777777" w:rsidR="006B7A90" w:rsidRPr="007317C7" w:rsidRDefault="006B7A90" w:rsidP="00172C7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Описание внешнего вида, запаха, вкуса</w:t>
      </w:r>
    </w:p>
    <w:p w14:paraId="06ECBD9C" w14:textId="77777777" w:rsidR="00082A39" w:rsidRPr="007317C7" w:rsidRDefault="00082A39" w:rsidP="00082A39">
      <w:pPr>
        <w:pStyle w:val="Nagwekstrony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9" w:name="2175220287"/>
      <w:bookmarkEnd w:id="8"/>
      <w:r w:rsidRPr="007317C7">
        <w:rPr>
          <w:rFonts w:ascii="Times New Roman" w:eastAsia="Calibri" w:hAnsi="Times New Roman" w:cs="Times New Roman"/>
          <w:sz w:val="28"/>
          <w:szCs w:val="28"/>
          <w:lang w:eastAsia="en-US"/>
        </w:rPr>
        <w:t>Круглые таблетки оранжевого цвета, с риской на одной стороне и гравировкой «25» на другой стороне, толщиной 3.70 мм ± 0.20 мм (для дозировки 25 мкг).</w:t>
      </w:r>
    </w:p>
    <w:p w14:paraId="4332AB2A" w14:textId="77777777" w:rsidR="00082A39" w:rsidRPr="007317C7" w:rsidRDefault="00082A39" w:rsidP="00082A39">
      <w:pPr>
        <w:pStyle w:val="Nagwekstrony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7C7">
        <w:rPr>
          <w:rFonts w:ascii="Times New Roman" w:eastAsia="Calibri" w:hAnsi="Times New Roman" w:cs="Times New Roman"/>
          <w:sz w:val="28"/>
          <w:szCs w:val="28"/>
          <w:lang w:eastAsia="en-US"/>
        </w:rPr>
        <w:t>Круглые таблетки белого цвета, с риской на одной стороне и гравировкой «50» на другой стороне, толщиной 3.70 мм ± 0.20 мм (для дозировки 50 мкг).</w:t>
      </w:r>
    </w:p>
    <w:p w14:paraId="09DD4B85" w14:textId="77777777" w:rsidR="00082A39" w:rsidRPr="007317C7" w:rsidRDefault="00082A39" w:rsidP="00082A39">
      <w:pPr>
        <w:pStyle w:val="Nagwekstrony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7C7">
        <w:rPr>
          <w:rFonts w:ascii="Times New Roman" w:eastAsia="Calibri" w:hAnsi="Times New Roman" w:cs="Times New Roman"/>
          <w:sz w:val="28"/>
          <w:szCs w:val="28"/>
          <w:lang w:eastAsia="en-US"/>
        </w:rPr>
        <w:t>Круглые таблетки фиолетового цвета, с риской на одной стороне и гравировкой «75» на другой стороне, толщиной 3.70 мм ± 0.20 мм (для дозировки 75 мкг).</w:t>
      </w:r>
    </w:p>
    <w:p w14:paraId="09A6D7F4" w14:textId="77777777" w:rsidR="001D49A8" w:rsidRPr="007317C7" w:rsidRDefault="00082A39" w:rsidP="00082A39">
      <w:pPr>
        <w:pStyle w:val="Nagwekstrony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317C7">
        <w:rPr>
          <w:rFonts w:ascii="Times New Roman" w:eastAsia="Calibri" w:hAnsi="Times New Roman" w:cs="Times New Roman"/>
          <w:sz w:val="28"/>
          <w:szCs w:val="28"/>
          <w:lang w:eastAsia="en-US"/>
        </w:rPr>
        <w:t>Круглые таблетки желтого цвета, с риской на одной стороне и гравировкой «100» на другой стороне, толщиной 3.70 мм ± 0.20 мм (для дозировки 100 мкг).</w:t>
      </w:r>
    </w:p>
    <w:p w14:paraId="60B76CAD" w14:textId="77777777" w:rsidR="00082A39" w:rsidRPr="007317C7" w:rsidRDefault="00082A39" w:rsidP="00082A39">
      <w:pPr>
        <w:pStyle w:val="Nagwekstrony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77D11C29" w14:textId="77777777" w:rsidR="00050DFB" w:rsidRPr="007317C7" w:rsidRDefault="00715193" w:rsidP="00172C77">
      <w:pPr>
        <w:pStyle w:val="Nagwekstrony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b/>
          <w:sz w:val="28"/>
          <w:szCs w:val="28"/>
          <w:lang w:eastAsia="ru-RU"/>
        </w:rPr>
        <w:t>Форма выпуска и</w:t>
      </w:r>
      <w:r w:rsidR="00C9308C" w:rsidRPr="007317C7">
        <w:rPr>
          <w:rFonts w:ascii="Times New Roman" w:hAnsi="Times New Roman"/>
          <w:b/>
          <w:sz w:val="28"/>
          <w:szCs w:val="28"/>
          <w:lang w:eastAsia="ru-RU"/>
        </w:rPr>
        <w:t xml:space="preserve"> упаковка</w:t>
      </w:r>
      <w:r w:rsidR="00050DFB" w:rsidRPr="007317C7">
        <w:rPr>
          <w:rFonts w:ascii="Times New Roman" w:hAnsi="Times New Roman"/>
          <w:sz w:val="28"/>
          <w:szCs w:val="28"/>
        </w:rPr>
        <w:t xml:space="preserve"> </w:t>
      </w:r>
    </w:p>
    <w:p w14:paraId="2C323FA4" w14:textId="77777777" w:rsidR="00E22091" w:rsidRPr="007317C7" w:rsidRDefault="000368A1" w:rsidP="00172C77">
      <w:pPr>
        <w:spacing w:after="0" w:line="240" w:lineRule="auto"/>
        <w:jc w:val="both"/>
        <w:rPr>
          <w:rFonts w:ascii="Times New Roman" w:eastAsia="Times New Roman" w:hAnsi="Times New Roman" w:cs="HeliodorFEF"/>
          <w:sz w:val="28"/>
          <w:szCs w:val="28"/>
          <w:lang w:eastAsia="pl-PL"/>
        </w:rPr>
      </w:pPr>
      <w:r w:rsidRPr="007317C7">
        <w:rPr>
          <w:rFonts w:ascii="Times New Roman" w:eastAsia="Times New Roman" w:hAnsi="Times New Roman" w:cs="HeliodorFEF"/>
          <w:sz w:val="28"/>
          <w:szCs w:val="28"/>
          <w:lang w:eastAsia="pl-PL"/>
        </w:rPr>
        <w:t xml:space="preserve">По 100 таблеток помещают во флакон из полиэтилена высокой плотности. </w:t>
      </w:r>
      <w:r w:rsidR="00E22091" w:rsidRPr="007317C7">
        <w:rPr>
          <w:rFonts w:ascii="Times New Roman" w:eastAsia="Times New Roman" w:hAnsi="Times New Roman" w:cs="HeliodorFEF"/>
          <w:sz w:val="28"/>
          <w:szCs w:val="28"/>
          <w:lang w:eastAsia="pl-PL"/>
        </w:rPr>
        <w:t>По 1 флакону вместе с инструкцией по медицинскому применению на казахском и русском языках помещают в пачку из картона</w:t>
      </w:r>
    </w:p>
    <w:p w14:paraId="1EC03C0A" w14:textId="77777777" w:rsidR="000F4CB3" w:rsidRPr="007317C7" w:rsidRDefault="000F4CB3" w:rsidP="00172C77">
      <w:pPr>
        <w:spacing w:after="0" w:line="240" w:lineRule="auto"/>
        <w:jc w:val="both"/>
        <w:rPr>
          <w:rFonts w:ascii="Times New Roman" w:eastAsia="Times New Roman" w:hAnsi="Times New Roman" w:cs="HeliodorFEF"/>
          <w:sz w:val="28"/>
          <w:szCs w:val="28"/>
          <w:lang w:eastAsia="pl-PL"/>
        </w:rPr>
      </w:pPr>
    </w:p>
    <w:p w14:paraId="4FCC0DB8" w14:textId="77777777" w:rsidR="00844CE8" w:rsidRPr="007317C7" w:rsidRDefault="00844CE8" w:rsidP="00172C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r w:rsidR="000E01AB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рок </w:t>
      </w:r>
      <w:r w:rsidR="006C6558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>хранения</w:t>
      </w:r>
      <w:r w:rsidR="000E01AB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14:paraId="62372DA0" w14:textId="77777777" w:rsidR="00D14D61" w:rsidRPr="007317C7" w:rsidRDefault="000F4CB3" w:rsidP="00172C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050DFB"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14:paraId="79DE2E89" w14:textId="77777777" w:rsidR="000E01AB" w:rsidRPr="007317C7" w:rsidRDefault="00D14D61" w:rsidP="00172C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Не </w:t>
      </w:r>
      <w:r w:rsidR="000E01AB" w:rsidRPr="007317C7">
        <w:rPr>
          <w:rFonts w:ascii="Times New Roman" w:eastAsia="Times New Roman" w:hAnsi="Times New Roman"/>
          <w:sz w:val="28"/>
          <w:szCs w:val="28"/>
          <w:lang w:eastAsia="ru-RU"/>
        </w:rPr>
        <w:t>примен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ять </w:t>
      </w:r>
      <w:r w:rsidR="000E01AB" w:rsidRPr="007317C7">
        <w:rPr>
          <w:rFonts w:ascii="Times New Roman" w:eastAsia="Times New Roman" w:hAnsi="Times New Roman"/>
          <w:sz w:val="28"/>
          <w:szCs w:val="28"/>
          <w:lang w:eastAsia="ru-RU"/>
        </w:rPr>
        <w:t>по истечении срока годности</w:t>
      </w:r>
      <w:r w:rsidR="000368A1" w:rsidRPr="007317C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BAC2EAF" w14:textId="77777777" w:rsidR="000E01AB" w:rsidRPr="007317C7" w:rsidRDefault="00D14D61" w:rsidP="00172C77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bookmarkStart w:id="10" w:name="2175220288"/>
      <w:bookmarkEnd w:id="9"/>
      <w:r w:rsidRPr="007317C7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Условия хранения</w:t>
      </w:r>
    </w:p>
    <w:p w14:paraId="7787E595" w14:textId="77777777" w:rsidR="00D14D61" w:rsidRPr="007317C7" w:rsidRDefault="002543B0" w:rsidP="00172C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</w:rPr>
        <w:t>В сухом, защищенном от света м</w:t>
      </w:r>
      <w:r w:rsidR="000368A1" w:rsidRPr="007317C7">
        <w:rPr>
          <w:rFonts w:ascii="Times New Roman" w:hAnsi="Times New Roman"/>
          <w:sz w:val="28"/>
          <w:szCs w:val="28"/>
        </w:rPr>
        <w:t>есте при температуре не выше 30</w:t>
      </w:r>
      <w:r w:rsidR="0060097D" w:rsidRPr="007317C7">
        <w:rPr>
          <w:rFonts w:ascii="Times New Roman" w:hAnsi="Times New Roman"/>
          <w:sz w:val="28"/>
          <w:szCs w:val="28"/>
        </w:rPr>
        <w:t xml:space="preserve"> </w:t>
      </w:r>
      <w:r w:rsidRPr="007317C7">
        <w:rPr>
          <w:rFonts w:ascii="Times New Roman" w:hAnsi="Times New Roman"/>
          <w:sz w:val="28"/>
          <w:szCs w:val="28"/>
        </w:rPr>
        <w:t>°С</w:t>
      </w:r>
      <w:r w:rsidR="001D49A8" w:rsidRPr="007317C7">
        <w:rPr>
          <w:rFonts w:ascii="Times New Roman" w:hAnsi="Times New Roman"/>
          <w:sz w:val="28"/>
          <w:szCs w:val="28"/>
        </w:rPr>
        <w:t>.</w:t>
      </w:r>
      <w:r w:rsidRPr="007317C7">
        <w:rPr>
          <w:rFonts w:ascii="Times New Roman" w:hAnsi="Times New Roman"/>
          <w:sz w:val="28"/>
          <w:szCs w:val="28"/>
        </w:rPr>
        <w:t xml:space="preserve"> </w:t>
      </w:r>
      <w:r w:rsidR="00D14D61" w:rsidRPr="007317C7">
        <w:rPr>
          <w:rFonts w:ascii="Times New Roman" w:hAnsi="Times New Roman"/>
          <w:sz w:val="28"/>
          <w:szCs w:val="28"/>
        </w:rPr>
        <w:t xml:space="preserve">Хранить в </w:t>
      </w:r>
      <w:r w:rsidR="00A83CB6" w:rsidRPr="007317C7">
        <w:rPr>
          <w:rFonts w:ascii="Times New Roman" w:hAnsi="Times New Roman"/>
          <w:sz w:val="28"/>
          <w:szCs w:val="28"/>
        </w:rPr>
        <w:t xml:space="preserve">недоступном </w:t>
      </w:r>
      <w:r w:rsidR="009B2C25" w:rsidRPr="007317C7">
        <w:rPr>
          <w:rFonts w:ascii="Times New Roman" w:hAnsi="Times New Roman"/>
          <w:sz w:val="28"/>
          <w:szCs w:val="28"/>
        </w:rPr>
        <w:t>для детей</w:t>
      </w:r>
      <w:r w:rsidR="00D14D61" w:rsidRPr="007317C7">
        <w:rPr>
          <w:rFonts w:ascii="Times New Roman" w:hAnsi="Times New Roman"/>
          <w:sz w:val="28"/>
          <w:szCs w:val="28"/>
        </w:rPr>
        <w:t xml:space="preserve"> месте! </w:t>
      </w:r>
      <w:bookmarkStart w:id="11" w:name="2175220289"/>
      <w:bookmarkEnd w:id="10"/>
    </w:p>
    <w:bookmarkEnd w:id="11"/>
    <w:p w14:paraId="337F888E" w14:textId="77777777" w:rsidR="006B7A90" w:rsidRPr="007317C7" w:rsidRDefault="006B7A90" w:rsidP="00172C77">
      <w:pPr>
        <w:pStyle w:val="ac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A67A24" w14:textId="77777777" w:rsidR="002543B0" w:rsidRPr="007317C7" w:rsidRDefault="006C6558" w:rsidP="00172C77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317C7">
        <w:rPr>
          <w:rFonts w:ascii="Times New Roman" w:hAnsi="Times New Roman"/>
          <w:b/>
          <w:color w:val="000000"/>
          <w:sz w:val="28"/>
          <w:szCs w:val="28"/>
        </w:rPr>
        <w:t xml:space="preserve">Условия отпуска из аптек </w:t>
      </w:r>
    </w:p>
    <w:p w14:paraId="13A886A8" w14:textId="77777777" w:rsidR="006C6558" w:rsidRPr="007317C7" w:rsidRDefault="002543B0" w:rsidP="00172C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317C7">
        <w:rPr>
          <w:rFonts w:ascii="Times New Roman" w:hAnsi="Times New Roman"/>
          <w:bCs/>
          <w:color w:val="000000"/>
          <w:sz w:val="28"/>
          <w:szCs w:val="28"/>
        </w:rPr>
        <w:t xml:space="preserve">По </w:t>
      </w:r>
      <w:r w:rsidR="006C6558" w:rsidRPr="007317C7">
        <w:rPr>
          <w:rFonts w:ascii="Times New Roman" w:hAnsi="Times New Roman"/>
          <w:bCs/>
          <w:color w:val="000000"/>
          <w:sz w:val="28"/>
          <w:szCs w:val="28"/>
        </w:rPr>
        <w:t>рецепт</w:t>
      </w:r>
      <w:r w:rsidRPr="007317C7">
        <w:rPr>
          <w:rFonts w:ascii="Times New Roman" w:hAnsi="Times New Roman"/>
          <w:bCs/>
          <w:color w:val="000000"/>
          <w:sz w:val="28"/>
          <w:szCs w:val="28"/>
        </w:rPr>
        <w:t>у</w:t>
      </w:r>
    </w:p>
    <w:p w14:paraId="43428AC3" w14:textId="77777777" w:rsidR="002543B0" w:rsidRPr="007317C7" w:rsidRDefault="002543B0" w:rsidP="00172C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AD2295D" w14:textId="77777777" w:rsidR="006B7A90" w:rsidRPr="007317C7" w:rsidRDefault="007C1693" w:rsidP="00172C7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Сведения о производителе </w:t>
      </w:r>
    </w:p>
    <w:p w14:paraId="1B89BC6A" w14:textId="77777777" w:rsidR="002543B0" w:rsidRPr="007317C7" w:rsidRDefault="00074BDD" w:rsidP="00172C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2" w:name="_Hlk123917363"/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Acme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Generics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0192"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Private</w:t>
      </w:r>
      <w:r w:rsidR="00530192"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30192"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Limited</w:t>
      </w:r>
      <w:r w:rsidR="00530192" w:rsidRPr="007317C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bookmarkEnd w:id="12"/>
    <w:p w14:paraId="0E0DEA14" w14:textId="77777777" w:rsidR="00DB5531" w:rsidRPr="007317C7" w:rsidRDefault="00E22091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kk-KZ" w:eastAsia="ru-RU"/>
        </w:rPr>
      </w:pP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Plot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No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.115, 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HPSIDC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bookmarkStart w:id="13" w:name="_Hlk113803043"/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Ind</w:t>
      </w:r>
      <w:r w:rsidR="00A82D34"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ustrial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Area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Davni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P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O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Gurumajra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Tehsil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Nalagarh</w:t>
      </w:r>
      <w:r w:rsidR="0069164C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A82D34"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 Техсил Налагарх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17C7">
        <w:rPr>
          <w:rFonts w:ascii="Times New Roman" w:eastAsia="Times New Roman" w:hAnsi="Times New Roman"/>
          <w:sz w:val="28"/>
          <w:szCs w:val="28"/>
          <w:lang w:val="en-US" w:eastAsia="ru-RU"/>
        </w:rPr>
        <w:t>Distt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. Solan, </w:t>
      </w:r>
      <w:r w:rsidR="00A82D34" w:rsidRPr="007317C7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>H.P.</w:t>
      </w:r>
      <w:r w:rsidR="00A82D34" w:rsidRPr="007317C7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bookmarkEnd w:id="13"/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>- 174101, Индия</w:t>
      </w:r>
      <w:r w:rsidR="008A6CA6" w:rsidRPr="007317C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46D9C440" w14:textId="77777777" w:rsidR="00E22091" w:rsidRPr="007317C7" w:rsidRDefault="00074BDD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>тел. +91 1795-332601-03</w:t>
      </w:r>
      <w:r w:rsidR="00057567"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317C7">
        <w:rPr>
          <w:rFonts w:ascii="Times New Roman" w:eastAsia="Times New Roman" w:hAnsi="Times New Roman"/>
          <w:sz w:val="28"/>
          <w:szCs w:val="28"/>
          <w:lang w:eastAsia="ru-RU"/>
        </w:rPr>
        <w:t xml:space="preserve">электронный адрес </w:t>
      </w:r>
      <w:hyperlink r:id="rId9" w:history="1">
        <w:r w:rsidRPr="007317C7">
          <w:rPr>
            <w:rStyle w:val="af"/>
            <w:rFonts w:ascii="Times New Roman" w:eastAsia="Times New Roman" w:hAnsi="Times New Roman"/>
            <w:sz w:val="28"/>
            <w:szCs w:val="28"/>
            <w:lang w:eastAsia="ru-RU"/>
          </w:rPr>
          <w:t>admin@acmegenerics.in</w:t>
        </w:r>
      </w:hyperlink>
    </w:p>
    <w:p w14:paraId="2B4AB3ED" w14:textId="77777777" w:rsidR="00074BDD" w:rsidRPr="007317C7" w:rsidRDefault="00074BDD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</w:p>
    <w:p w14:paraId="6BE55B6B" w14:textId="77777777" w:rsidR="00D76048" w:rsidRPr="007317C7" w:rsidRDefault="005A3C81" w:rsidP="00172C7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7C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Держатель</w:t>
      </w:r>
      <w:r w:rsidR="00D76048" w:rsidRPr="007317C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регистрационного удостоверения</w:t>
      </w:r>
    </w:p>
    <w:p w14:paraId="58F10D48" w14:textId="77777777" w:rsidR="00F54318" w:rsidRPr="007317C7" w:rsidRDefault="00F54318" w:rsidP="00F54318">
      <w:pPr>
        <w:pStyle w:val="ac"/>
        <w:rPr>
          <w:rFonts w:ascii="Times New Roman" w:hAnsi="Times New Roman"/>
          <w:sz w:val="28"/>
          <w:szCs w:val="28"/>
          <w:lang w:val="kk-KZ"/>
        </w:rPr>
      </w:pPr>
      <w:r w:rsidRPr="007317C7">
        <w:rPr>
          <w:rFonts w:ascii="Times New Roman" w:hAnsi="Times New Roman"/>
          <w:sz w:val="28"/>
          <w:szCs w:val="28"/>
          <w:lang w:val="kk-KZ"/>
        </w:rPr>
        <w:t>ТОО «Rogers Pharma»</w:t>
      </w:r>
    </w:p>
    <w:p w14:paraId="32977546" w14:textId="77777777" w:rsidR="00F54318" w:rsidRPr="007317C7" w:rsidRDefault="00F54318" w:rsidP="00F54318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  <w:lang w:val="kk-KZ"/>
        </w:rPr>
        <w:lastRenderedPageBreak/>
        <w:t xml:space="preserve">г. Алматы, мкн. Мирас, </w:t>
      </w:r>
      <w:r w:rsidRPr="007317C7">
        <w:rPr>
          <w:rFonts w:ascii="Times New Roman" w:hAnsi="Times New Roman"/>
          <w:color w:val="000000"/>
          <w:sz w:val="28"/>
          <w:szCs w:val="28"/>
        </w:rPr>
        <w:t xml:space="preserve">д.157, н.п. 819.  Тел. +7 (727) 311-81-96/97, электронный адрес: </w:t>
      </w:r>
      <w:hyperlink r:id="rId10" w:history="1">
        <w:r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office</w:t>
        </w:r>
        <w:r w:rsidRPr="007317C7">
          <w:rPr>
            <w:rStyle w:val="af"/>
            <w:rFonts w:ascii="Times New Roman" w:hAnsi="Times New Roman"/>
            <w:sz w:val="28"/>
            <w:szCs w:val="28"/>
          </w:rPr>
          <w:t>.</w:t>
        </w:r>
        <w:r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secretary</w:t>
        </w:r>
        <w:r w:rsidRPr="007317C7">
          <w:rPr>
            <w:rStyle w:val="af"/>
            <w:rFonts w:ascii="Times New Roman" w:hAnsi="Times New Roman"/>
            <w:sz w:val="28"/>
            <w:szCs w:val="28"/>
          </w:rPr>
          <w:t>@</w:t>
        </w:r>
        <w:r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rogersgroup</w:t>
        </w:r>
        <w:r w:rsidRPr="007317C7">
          <w:rPr>
            <w:rStyle w:val="af"/>
            <w:rFonts w:ascii="Times New Roman" w:hAnsi="Times New Roman"/>
            <w:sz w:val="28"/>
            <w:szCs w:val="28"/>
          </w:rPr>
          <w:t>.</w:t>
        </w:r>
        <w:r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777ACA67" w14:textId="77777777" w:rsidR="00F54318" w:rsidRPr="007317C7" w:rsidRDefault="00F54318" w:rsidP="00172C77">
      <w:pPr>
        <w:pStyle w:val="21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B3D8AA" w14:textId="77777777" w:rsidR="008072E6" w:rsidRPr="007317C7" w:rsidRDefault="008072E6" w:rsidP="008072E6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7317C7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7317C7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принимающей претензии (предложения)  по качеству лекарственных  средств  от потребителей </w:t>
      </w:r>
    </w:p>
    <w:p w14:paraId="5A8BC65A" w14:textId="77777777" w:rsidR="008D27CD" w:rsidRPr="007317C7" w:rsidRDefault="008D27CD" w:rsidP="008D27CD">
      <w:pPr>
        <w:pStyle w:val="ac"/>
        <w:rPr>
          <w:rFonts w:ascii="Times New Roman" w:hAnsi="Times New Roman"/>
          <w:sz w:val="28"/>
          <w:szCs w:val="28"/>
          <w:lang w:val="kk-KZ"/>
        </w:rPr>
      </w:pPr>
      <w:r w:rsidRPr="007317C7">
        <w:rPr>
          <w:rFonts w:ascii="Times New Roman" w:hAnsi="Times New Roman"/>
          <w:sz w:val="28"/>
          <w:szCs w:val="28"/>
          <w:lang w:val="kk-KZ"/>
        </w:rPr>
        <w:t>ТОО «Rogers Pharma»</w:t>
      </w:r>
    </w:p>
    <w:p w14:paraId="3F45474F" w14:textId="77777777" w:rsidR="008D27CD" w:rsidRPr="007317C7" w:rsidRDefault="008D27CD" w:rsidP="00F433C5">
      <w:pPr>
        <w:pStyle w:val="ac"/>
        <w:rPr>
          <w:rFonts w:ascii="Times New Roman" w:hAnsi="Times New Roman"/>
          <w:color w:val="000000"/>
          <w:sz w:val="28"/>
          <w:szCs w:val="28"/>
        </w:rPr>
      </w:pPr>
      <w:r w:rsidRPr="007317C7">
        <w:rPr>
          <w:rFonts w:ascii="Times New Roman" w:hAnsi="Times New Roman"/>
          <w:sz w:val="28"/>
          <w:szCs w:val="28"/>
          <w:lang w:val="kk-KZ"/>
        </w:rPr>
        <w:t xml:space="preserve">г. Алматы, мкн. Мирас, </w:t>
      </w:r>
      <w:r w:rsidR="00F433C5" w:rsidRPr="007317C7">
        <w:rPr>
          <w:rFonts w:ascii="Times New Roman" w:hAnsi="Times New Roman"/>
          <w:color w:val="000000"/>
          <w:sz w:val="28"/>
          <w:szCs w:val="28"/>
        </w:rPr>
        <w:t xml:space="preserve">д.157, н.п. 819.  Тел. </w:t>
      </w:r>
      <w:r w:rsidR="00F02331" w:rsidRPr="007317C7">
        <w:rPr>
          <w:rFonts w:ascii="Times New Roman" w:hAnsi="Times New Roman"/>
          <w:color w:val="000000"/>
          <w:sz w:val="28"/>
          <w:szCs w:val="28"/>
        </w:rPr>
        <w:t xml:space="preserve">+7 </w:t>
      </w:r>
      <w:r w:rsidR="00F433C5" w:rsidRPr="007317C7">
        <w:rPr>
          <w:rFonts w:ascii="Times New Roman" w:hAnsi="Times New Roman"/>
          <w:color w:val="000000"/>
          <w:sz w:val="28"/>
          <w:szCs w:val="28"/>
        </w:rPr>
        <w:t xml:space="preserve">(727) 311-81-96/97, электронный адрес: </w:t>
      </w:r>
      <w:hyperlink r:id="rId11" w:history="1">
        <w:r w:rsidR="00F433C5"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office</w:t>
        </w:r>
        <w:r w:rsidR="00F433C5" w:rsidRPr="007317C7">
          <w:rPr>
            <w:rStyle w:val="af"/>
            <w:rFonts w:ascii="Times New Roman" w:hAnsi="Times New Roman"/>
            <w:sz w:val="28"/>
            <w:szCs w:val="28"/>
          </w:rPr>
          <w:t>.</w:t>
        </w:r>
        <w:r w:rsidR="00F433C5"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secretary</w:t>
        </w:r>
        <w:r w:rsidR="00F433C5" w:rsidRPr="007317C7">
          <w:rPr>
            <w:rStyle w:val="af"/>
            <w:rFonts w:ascii="Times New Roman" w:hAnsi="Times New Roman"/>
            <w:sz w:val="28"/>
            <w:szCs w:val="28"/>
          </w:rPr>
          <w:t>@</w:t>
        </w:r>
        <w:r w:rsidR="00F433C5"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rogersgroup</w:t>
        </w:r>
        <w:r w:rsidR="00F433C5" w:rsidRPr="007317C7">
          <w:rPr>
            <w:rStyle w:val="af"/>
            <w:rFonts w:ascii="Times New Roman" w:hAnsi="Times New Roman"/>
            <w:sz w:val="28"/>
            <w:szCs w:val="28"/>
          </w:rPr>
          <w:t>.</w:t>
        </w:r>
        <w:r w:rsidR="00F433C5" w:rsidRPr="007317C7">
          <w:rPr>
            <w:rStyle w:val="af"/>
            <w:rFonts w:ascii="Times New Roman" w:hAnsi="Times New Roman"/>
            <w:sz w:val="28"/>
            <w:szCs w:val="28"/>
            <w:lang w:val="en-US"/>
          </w:rPr>
          <w:t>in</w:t>
        </w:r>
      </w:hyperlink>
    </w:p>
    <w:p w14:paraId="5FCD68A8" w14:textId="77777777" w:rsidR="00F433C5" w:rsidRPr="007317C7" w:rsidRDefault="00F433C5" w:rsidP="00F433C5">
      <w:pPr>
        <w:pStyle w:val="ac"/>
        <w:rPr>
          <w:rFonts w:ascii="Times New Roman" w:hAnsi="Times New Roman"/>
          <w:sz w:val="28"/>
          <w:szCs w:val="28"/>
        </w:rPr>
      </w:pPr>
    </w:p>
    <w:p w14:paraId="6634CF65" w14:textId="77777777" w:rsidR="008072E6" w:rsidRPr="007317C7" w:rsidRDefault="008072E6" w:rsidP="008072E6">
      <w:pPr>
        <w:pStyle w:val="21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de-DE"/>
        </w:rPr>
      </w:pPr>
      <w:r w:rsidRPr="007317C7">
        <w:rPr>
          <w:rFonts w:ascii="Times New Roman" w:hAnsi="Times New Roman"/>
          <w:b/>
          <w:iCs/>
          <w:sz w:val="28"/>
          <w:szCs w:val="28"/>
          <w:lang w:val="kk-KZ"/>
        </w:rPr>
        <w:t xml:space="preserve">Наименование, адрес и контактные данные  (телефон,  факс,  электронная  почта) организации </w:t>
      </w:r>
      <w:r w:rsidRPr="007317C7">
        <w:rPr>
          <w:rFonts w:ascii="Times New Roman" w:hAnsi="Times New Roman"/>
          <w:b/>
          <w:iCs/>
          <w:sz w:val="28"/>
          <w:szCs w:val="28"/>
        </w:rPr>
        <w:t xml:space="preserve">на территории Республики Казахстан, </w:t>
      </w:r>
      <w:r w:rsidRPr="007317C7">
        <w:rPr>
          <w:rFonts w:ascii="Times New Roman" w:hAnsi="Times New Roman"/>
          <w:b/>
          <w:iCs/>
          <w:sz w:val="28"/>
          <w:szCs w:val="28"/>
          <w:lang w:val="de-DE" w:eastAsia="de-DE"/>
        </w:rPr>
        <w:t>ответственной за пострегистрационное наблюдение за безопасностью лекарственного средства</w:t>
      </w:r>
      <w:r w:rsidRPr="007317C7">
        <w:rPr>
          <w:rFonts w:ascii="Times New Roman" w:hAnsi="Times New Roman"/>
          <w:b/>
          <w:sz w:val="28"/>
          <w:szCs w:val="28"/>
          <w:lang w:val="de-DE" w:eastAsia="de-DE"/>
        </w:rPr>
        <w:t xml:space="preserve"> </w:t>
      </w:r>
    </w:p>
    <w:p w14:paraId="130531C8" w14:textId="77777777" w:rsidR="00E31C76" w:rsidRDefault="00E31C76" w:rsidP="00E31C7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ТОО «</w:t>
      </w:r>
      <w:r>
        <w:rPr>
          <w:rFonts w:ascii="Times New Roman" w:hAnsi="Times New Roman"/>
          <w:sz w:val="28"/>
          <w:szCs w:val="28"/>
          <w:lang w:val="en-US"/>
        </w:rPr>
        <w:t>Rogers</w:t>
      </w:r>
      <w:r w:rsidRPr="00E31C7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Pharma</w:t>
      </w:r>
      <w:r>
        <w:rPr>
          <w:rFonts w:ascii="Times New Roman" w:hAnsi="Times New Roman"/>
          <w:sz w:val="28"/>
          <w:szCs w:val="28"/>
        </w:rPr>
        <w:t>», Казахстан, 050043, г. Алматы, мкн. Мирас, д.157, блок 2, н.п. 819.</w:t>
      </w:r>
    </w:p>
    <w:p w14:paraId="49538233" w14:textId="77777777" w:rsidR="00E31C76" w:rsidRDefault="00E31C76" w:rsidP="00E3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Тел. (727) 311-81-96/97, </w:t>
      </w:r>
    </w:p>
    <w:p w14:paraId="23B6AF61" w14:textId="77777777" w:rsidR="00E31C76" w:rsidRDefault="00E31C76" w:rsidP="00E31C7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с 24-х часовой доступностью: +77479911904, </w:t>
      </w:r>
    </w:p>
    <w:p w14:paraId="3272CF57" w14:textId="77777777" w:rsidR="00E31C76" w:rsidRPr="00E31C76" w:rsidRDefault="00E31C76" w:rsidP="00E31C76">
      <w:pPr>
        <w:spacing w:after="0" w:line="240" w:lineRule="auto"/>
        <w:rPr>
          <w:rFonts w:cs="Calibri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e-mail: </w:t>
      </w:r>
      <w:hyperlink r:id="rId12" w:history="1">
        <w:r>
          <w:rPr>
            <w:rStyle w:val="af"/>
            <w:rFonts w:ascii="Times New Roman" w:hAnsi="Times New Roman"/>
            <w:sz w:val="28"/>
            <w:szCs w:val="28"/>
            <w:lang w:val="en-US"/>
          </w:rPr>
          <w:t>irina.volovnikova@gmail.com</w:t>
        </w:r>
      </w:hyperlink>
      <w:r>
        <w:rPr>
          <w:rFonts w:ascii="Times New Roman" w:hAnsi="Times New Roman"/>
          <w:sz w:val="28"/>
          <w:szCs w:val="28"/>
          <w:lang w:val="en-US"/>
        </w:rPr>
        <w:t xml:space="preserve">, </w:t>
      </w:r>
      <w:hyperlink r:id="rId13" w:history="1">
        <w:r>
          <w:rPr>
            <w:rStyle w:val="af"/>
            <w:rFonts w:ascii="Times New Roman" w:hAnsi="Times New Roman"/>
            <w:sz w:val="28"/>
            <w:szCs w:val="28"/>
            <w:lang w:val="en-US"/>
          </w:rPr>
          <w:t>pharmacovigilance@rogerspharma.kz</w:t>
        </w:r>
      </w:hyperlink>
      <w:r>
        <w:rPr>
          <w:rFonts w:ascii="Times New Roman" w:hAnsi="Times New Roman"/>
          <w:sz w:val="28"/>
          <w:szCs w:val="28"/>
          <w:lang w:val="en-US"/>
        </w:rPr>
        <w:t>    </w:t>
      </w:r>
    </w:p>
    <w:p w14:paraId="798911CC" w14:textId="77777777" w:rsidR="002C76D7" w:rsidRPr="00E31C76" w:rsidRDefault="002C76D7" w:rsidP="00E31C76">
      <w:pPr>
        <w:pStyle w:val="ac"/>
        <w:rPr>
          <w:rFonts w:ascii="Times New Roman" w:hAnsi="Times New Roman"/>
          <w:sz w:val="28"/>
          <w:szCs w:val="28"/>
          <w:lang w:val="en-US"/>
        </w:rPr>
      </w:pPr>
    </w:p>
    <w:p w14:paraId="1A7CAD1B" w14:textId="28132AB6" w:rsidR="001C3DA5" w:rsidRPr="00DA4A58" w:rsidRDefault="001C3DA5">
      <w:pPr>
        <w:rPr>
          <w:lang w:val="en-US"/>
        </w:rPr>
      </w:pPr>
    </w:p>
    <w:sectPr w:rsidR="001C3DA5" w:rsidRPr="00DA4A58" w:rsidSect="00C47776"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E451" w14:textId="77777777" w:rsidR="00C01181" w:rsidRDefault="00C01181" w:rsidP="00D275FC">
      <w:pPr>
        <w:spacing w:after="0" w:line="240" w:lineRule="auto"/>
      </w:pPr>
      <w:r>
        <w:separator/>
      </w:r>
    </w:p>
  </w:endnote>
  <w:endnote w:type="continuationSeparator" w:id="0">
    <w:p w14:paraId="13878CDD" w14:textId="77777777" w:rsidR="00C01181" w:rsidRDefault="00C01181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iodorFEF">
    <w:charset w:val="02"/>
    <w:family w:val="auto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AEA58" w14:textId="77777777" w:rsidR="009D472B" w:rsidRDefault="00C01181"/>
  <w:p w14:paraId="2F0CECF0" w14:textId="77777777" w:rsidR="001C3DA5" w:rsidRDefault="000B683E">
    <w:r>
      <w:rPr>
        <w:rFonts w:ascii="Times New Roman" w:eastAsia="Times New Roman" w:hAnsi="Times New Roman"/>
      </w:rPr>
      <w:t>Решение: N081184</w:t>
    </w:r>
    <w:r>
      <w:rPr>
        <w:rFonts w:ascii="Times New Roman" w:eastAsia="Times New Roman" w:hAnsi="Times New Roman"/>
      </w:rPr>
      <w:br/>
      <w:t>Дата решения: 13.11.2024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93A73" w14:textId="77777777" w:rsidR="009D472B" w:rsidRDefault="00C01181"/>
  <w:p w14:paraId="13741B1B" w14:textId="55CCACEF" w:rsidR="001C3DA5" w:rsidRDefault="001C3DA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CBA10" w14:textId="77777777" w:rsidR="009D472B" w:rsidRDefault="00C01181"/>
  <w:p w14:paraId="7DAB04E6" w14:textId="77777777" w:rsidR="001C3DA5" w:rsidRDefault="000B683E">
    <w:r>
      <w:rPr>
        <w:rFonts w:ascii="Times New Roman" w:eastAsia="Times New Roman" w:hAnsi="Times New Roman"/>
      </w:rPr>
      <w:t>Решение: N081184</w:t>
    </w:r>
    <w:r>
      <w:rPr>
        <w:rFonts w:ascii="Times New Roman" w:eastAsia="Times New Roman" w:hAnsi="Times New Roman"/>
      </w:rPr>
      <w:br/>
      <w:t>Дата решения: 13.11.2024</w:t>
    </w:r>
    <w:r>
      <w:rPr>
        <w:rFonts w:ascii="Times New Roman" w:eastAsia="Times New Roman" w:hAnsi="Times New Roman"/>
      </w:rPr>
      <w:br/>
      <w:t>Фамилия, имя, отчество (при его наличии) руководителя государственного органа (или уполномоченное лицо): Кенжеханова А. Ж.</w:t>
    </w:r>
    <w:r>
      <w:rPr>
        <w:rFonts w:ascii="Times New Roman" w:eastAsia="Times New Roman" w:hAnsi="Times New Roman"/>
      </w:rPr>
      <w:br/>
      <w:t>(Комитет медицинского и фармацевтического контроля Министерства здравоохранения Республики Казахстан)</w:t>
    </w:r>
    <w:r>
      <w:rPr>
        <w:rFonts w:ascii="Times New Roman" w:eastAsia="Times New Roman" w:hAnsi="Times New Roman"/>
      </w:rPr>
      <w:br/>
      <w:t>Данный документ согласно пункту 1 статьи 7 ЗРК от 7 января 2003 года «Об электронном документе и электронной цифровой подписи» равнозначен документу на бумажном носителе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25844" w14:textId="77777777" w:rsidR="00C01181" w:rsidRDefault="00C01181" w:rsidP="00D275FC">
      <w:pPr>
        <w:spacing w:after="0" w:line="240" w:lineRule="auto"/>
      </w:pPr>
      <w:r>
        <w:separator/>
      </w:r>
    </w:p>
  </w:footnote>
  <w:footnote w:type="continuationSeparator" w:id="0">
    <w:p w14:paraId="3AEB9C3B" w14:textId="77777777" w:rsidR="00C01181" w:rsidRDefault="00C01181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CA06" w14:textId="77777777" w:rsidR="00D275FC" w:rsidRDefault="00C560AF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226051" wp14:editId="4AD5D3AC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8265BEF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26051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08265BEF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E4191"/>
    <w:multiLevelType w:val="hybridMultilevel"/>
    <w:tmpl w:val="0EE60D94"/>
    <w:lvl w:ilvl="0" w:tplc="30D4A13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0416944"/>
    <w:multiLevelType w:val="hybridMultilevel"/>
    <w:tmpl w:val="0560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2"/>
  </w:num>
  <w:num w:numId="4">
    <w:abstractNumId w:val="20"/>
  </w:num>
  <w:num w:numId="5">
    <w:abstractNumId w:val="25"/>
  </w:num>
  <w:num w:numId="6">
    <w:abstractNumId w:val="5"/>
  </w:num>
  <w:num w:numId="7">
    <w:abstractNumId w:val="23"/>
  </w:num>
  <w:num w:numId="8">
    <w:abstractNumId w:val="7"/>
  </w:num>
  <w:num w:numId="9">
    <w:abstractNumId w:val="17"/>
  </w:num>
  <w:num w:numId="10">
    <w:abstractNumId w:val="8"/>
  </w:num>
  <w:num w:numId="11">
    <w:abstractNumId w:val="16"/>
  </w:num>
  <w:num w:numId="12">
    <w:abstractNumId w:val="19"/>
  </w:num>
  <w:num w:numId="13">
    <w:abstractNumId w:val="21"/>
  </w:num>
  <w:num w:numId="14">
    <w:abstractNumId w:val="13"/>
  </w:num>
  <w:num w:numId="15">
    <w:abstractNumId w:val="0"/>
  </w:num>
  <w:num w:numId="16">
    <w:abstractNumId w:val="24"/>
  </w:num>
  <w:num w:numId="17">
    <w:abstractNumId w:val="15"/>
  </w:num>
  <w:num w:numId="18">
    <w:abstractNumId w:val="14"/>
  </w:num>
  <w:num w:numId="19">
    <w:abstractNumId w:val="6"/>
  </w:num>
  <w:num w:numId="20">
    <w:abstractNumId w:val="1"/>
  </w:num>
  <w:num w:numId="21">
    <w:abstractNumId w:val="11"/>
  </w:num>
  <w:num w:numId="22">
    <w:abstractNumId w:val="4"/>
  </w:num>
  <w:num w:numId="23">
    <w:abstractNumId w:val="22"/>
  </w:num>
  <w:num w:numId="24">
    <w:abstractNumId w:val="12"/>
  </w:num>
  <w:num w:numId="25">
    <w:abstractNumId w:val="10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10371"/>
    <w:rsid w:val="00023B93"/>
    <w:rsid w:val="000264BB"/>
    <w:rsid w:val="00033FC1"/>
    <w:rsid w:val="00034159"/>
    <w:rsid w:val="000368A1"/>
    <w:rsid w:val="00042999"/>
    <w:rsid w:val="0005039A"/>
    <w:rsid w:val="00050DFB"/>
    <w:rsid w:val="00057567"/>
    <w:rsid w:val="000616CD"/>
    <w:rsid w:val="00066BD4"/>
    <w:rsid w:val="00074BDD"/>
    <w:rsid w:val="00082A39"/>
    <w:rsid w:val="000852A1"/>
    <w:rsid w:val="00094B4F"/>
    <w:rsid w:val="000972E6"/>
    <w:rsid w:val="000A0D71"/>
    <w:rsid w:val="000B683E"/>
    <w:rsid w:val="000C2C4B"/>
    <w:rsid w:val="000C4C48"/>
    <w:rsid w:val="000D01CF"/>
    <w:rsid w:val="000D06D0"/>
    <w:rsid w:val="000E01AB"/>
    <w:rsid w:val="000E25AF"/>
    <w:rsid w:val="000E2683"/>
    <w:rsid w:val="000E49F0"/>
    <w:rsid w:val="000E6126"/>
    <w:rsid w:val="000F4CB3"/>
    <w:rsid w:val="00100406"/>
    <w:rsid w:val="00106F54"/>
    <w:rsid w:val="00107A8A"/>
    <w:rsid w:val="00111788"/>
    <w:rsid w:val="00111AB4"/>
    <w:rsid w:val="00116566"/>
    <w:rsid w:val="00132B9A"/>
    <w:rsid w:val="001368AE"/>
    <w:rsid w:val="00144CCD"/>
    <w:rsid w:val="001451EF"/>
    <w:rsid w:val="0014739A"/>
    <w:rsid w:val="00150EF7"/>
    <w:rsid w:val="0015490C"/>
    <w:rsid w:val="001573E2"/>
    <w:rsid w:val="0016278D"/>
    <w:rsid w:val="00170998"/>
    <w:rsid w:val="00172C77"/>
    <w:rsid w:val="001772FE"/>
    <w:rsid w:val="00182FF4"/>
    <w:rsid w:val="001830D5"/>
    <w:rsid w:val="001937AD"/>
    <w:rsid w:val="001A2CB2"/>
    <w:rsid w:val="001A5CCF"/>
    <w:rsid w:val="001B0E51"/>
    <w:rsid w:val="001B6AEC"/>
    <w:rsid w:val="001C3DA5"/>
    <w:rsid w:val="001D49A8"/>
    <w:rsid w:val="001D71B4"/>
    <w:rsid w:val="001E6F4C"/>
    <w:rsid w:val="001F16AA"/>
    <w:rsid w:val="00203355"/>
    <w:rsid w:val="00205096"/>
    <w:rsid w:val="00211005"/>
    <w:rsid w:val="002131D6"/>
    <w:rsid w:val="00213A2F"/>
    <w:rsid w:val="00213B90"/>
    <w:rsid w:val="002140CA"/>
    <w:rsid w:val="002169A9"/>
    <w:rsid w:val="00217D41"/>
    <w:rsid w:val="00222CA6"/>
    <w:rsid w:val="002249F1"/>
    <w:rsid w:val="00232642"/>
    <w:rsid w:val="00237697"/>
    <w:rsid w:val="00250EDB"/>
    <w:rsid w:val="002543B0"/>
    <w:rsid w:val="00256E10"/>
    <w:rsid w:val="00260413"/>
    <w:rsid w:val="00260EBC"/>
    <w:rsid w:val="00264710"/>
    <w:rsid w:val="00267567"/>
    <w:rsid w:val="00270B0A"/>
    <w:rsid w:val="00272272"/>
    <w:rsid w:val="00281FBE"/>
    <w:rsid w:val="00282C71"/>
    <w:rsid w:val="0028700F"/>
    <w:rsid w:val="00290D2E"/>
    <w:rsid w:val="00292715"/>
    <w:rsid w:val="00294BD2"/>
    <w:rsid w:val="002A123C"/>
    <w:rsid w:val="002A591C"/>
    <w:rsid w:val="002B3270"/>
    <w:rsid w:val="002B7DF6"/>
    <w:rsid w:val="002C10E1"/>
    <w:rsid w:val="002C15EB"/>
    <w:rsid w:val="002C1660"/>
    <w:rsid w:val="002C19E8"/>
    <w:rsid w:val="002C35A2"/>
    <w:rsid w:val="002C40F5"/>
    <w:rsid w:val="002C5345"/>
    <w:rsid w:val="002C67D7"/>
    <w:rsid w:val="002C76D7"/>
    <w:rsid w:val="002D56B7"/>
    <w:rsid w:val="002E0BAD"/>
    <w:rsid w:val="002F2DCF"/>
    <w:rsid w:val="002F4A14"/>
    <w:rsid w:val="00302607"/>
    <w:rsid w:val="003043BF"/>
    <w:rsid w:val="003074F9"/>
    <w:rsid w:val="003169E2"/>
    <w:rsid w:val="00320073"/>
    <w:rsid w:val="00322FA9"/>
    <w:rsid w:val="003262DF"/>
    <w:rsid w:val="003356B2"/>
    <w:rsid w:val="00335F5F"/>
    <w:rsid w:val="0034500D"/>
    <w:rsid w:val="00350076"/>
    <w:rsid w:val="0036288F"/>
    <w:rsid w:val="00365815"/>
    <w:rsid w:val="00365B10"/>
    <w:rsid w:val="003662F1"/>
    <w:rsid w:val="00367BA7"/>
    <w:rsid w:val="00372D1E"/>
    <w:rsid w:val="003761C0"/>
    <w:rsid w:val="003766FB"/>
    <w:rsid w:val="003775CE"/>
    <w:rsid w:val="003812B2"/>
    <w:rsid w:val="00383CDB"/>
    <w:rsid w:val="00384F08"/>
    <w:rsid w:val="003879F9"/>
    <w:rsid w:val="003A035E"/>
    <w:rsid w:val="003B0285"/>
    <w:rsid w:val="003E13CF"/>
    <w:rsid w:val="003F1CC7"/>
    <w:rsid w:val="003F5344"/>
    <w:rsid w:val="003F7EDC"/>
    <w:rsid w:val="00404548"/>
    <w:rsid w:val="004105CF"/>
    <w:rsid w:val="0041162E"/>
    <w:rsid w:val="00424143"/>
    <w:rsid w:val="0042786D"/>
    <w:rsid w:val="00431F0C"/>
    <w:rsid w:val="00433C62"/>
    <w:rsid w:val="00434CDD"/>
    <w:rsid w:val="00434D01"/>
    <w:rsid w:val="00472EF5"/>
    <w:rsid w:val="0047370A"/>
    <w:rsid w:val="00484AA8"/>
    <w:rsid w:val="0048687C"/>
    <w:rsid w:val="00496637"/>
    <w:rsid w:val="004A31B4"/>
    <w:rsid w:val="004A7ED8"/>
    <w:rsid w:val="004C1922"/>
    <w:rsid w:val="004C1B52"/>
    <w:rsid w:val="004C2290"/>
    <w:rsid w:val="004C462F"/>
    <w:rsid w:val="004D49E9"/>
    <w:rsid w:val="004D76B3"/>
    <w:rsid w:val="004E3614"/>
    <w:rsid w:val="004E3E9D"/>
    <w:rsid w:val="004F5FD3"/>
    <w:rsid w:val="00504074"/>
    <w:rsid w:val="005056B9"/>
    <w:rsid w:val="005071DA"/>
    <w:rsid w:val="00512C02"/>
    <w:rsid w:val="00523D82"/>
    <w:rsid w:val="0052486B"/>
    <w:rsid w:val="00525965"/>
    <w:rsid w:val="00530192"/>
    <w:rsid w:val="00531D64"/>
    <w:rsid w:val="00535BC0"/>
    <w:rsid w:val="00541A00"/>
    <w:rsid w:val="005444B2"/>
    <w:rsid w:val="00552F8B"/>
    <w:rsid w:val="0055545A"/>
    <w:rsid w:val="00555CD8"/>
    <w:rsid w:val="00561FE7"/>
    <w:rsid w:val="00564837"/>
    <w:rsid w:val="005717FF"/>
    <w:rsid w:val="00575348"/>
    <w:rsid w:val="005779DE"/>
    <w:rsid w:val="005869C5"/>
    <w:rsid w:val="005A3C81"/>
    <w:rsid w:val="005A5680"/>
    <w:rsid w:val="005A6203"/>
    <w:rsid w:val="005A6639"/>
    <w:rsid w:val="005A6914"/>
    <w:rsid w:val="005B3FFE"/>
    <w:rsid w:val="005C1519"/>
    <w:rsid w:val="005C1C4E"/>
    <w:rsid w:val="005C2867"/>
    <w:rsid w:val="005C4A16"/>
    <w:rsid w:val="005C4B12"/>
    <w:rsid w:val="005C5001"/>
    <w:rsid w:val="005D68C6"/>
    <w:rsid w:val="005D7EE3"/>
    <w:rsid w:val="005E50DE"/>
    <w:rsid w:val="005F7097"/>
    <w:rsid w:val="00600515"/>
    <w:rsid w:val="0060097D"/>
    <w:rsid w:val="0060364A"/>
    <w:rsid w:val="00610E82"/>
    <w:rsid w:val="006163DC"/>
    <w:rsid w:val="0061650D"/>
    <w:rsid w:val="00617843"/>
    <w:rsid w:val="00620F34"/>
    <w:rsid w:val="00621DDC"/>
    <w:rsid w:val="006241A5"/>
    <w:rsid w:val="00624C1B"/>
    <w:rsid w:val="00625471"/>
    <w:rsid w:val="00627853"/>
    <w:rsid w:val="00633094"/>
    <w:rsid w:val="0063416D"/>
    <w:rsid w:val="00634D0C"/>
    <w:rsid w:val="00650AE3"/>
    <w:rsid w:val="00652BCE"/>
    <w:rsid w:val="00652E29"/>
    <w:rsid w:val="00652EB6"/>
    <w:rsid w:val="00653617"/>
    <w:rsid w:val="006568FA"/>
    <w:rsid w:val="0066038A"/>
    <w:rsid w:val="006703A5"/>
    <w:rsid w:val="0067136B"/>
    <w:rsid w:val="00673BC7"/>
    <w:rsid w:val="00691208"/>
    <w:rsid w:val="0069164C"/>
    <w:rsid w:val="00693014"/>
    <w:rsid w:val="006A23C4"/>
    <w:rsid w:val="006A702E"/>
    <w:rsid w:val="006B7A90"/>
    <w:rsid w:val="006C36B5"/>
    <w:rsid w:val="006C577B"/>
    <w:rsid w:val="006C5F38"/>
    <w:rsid w:val="006C6558"/>
    <w:rsid w:val="006D0983"/>
    <w:rsid w:val="006D115A"/>
    <w:rsid w:val="006D5915"/>
    <w:rsid w:val="006D7D5A"/>
    <w:rsid w:val="006E10FF"/>
    <w:rsid w:val="006E12CC"/>
    <w:rsid w:val="006E4305"/>
    <w:rsid w:val="006F36C6"/>
    <w:rsid w:val="006F5763"/>
    <w:rsid w:val="00702BAC"/>
    <w:rsid w:val="00704BAB"/>
    <w:rsid w:val="007104D1"/>
    <w:rsid w:val="007135A6"/>
    <w:rsid w:val="00715193"/>
    <w:rsid w:val="007260E8"/>
    <w:rsid w:val="007317C7"/>
    <w:rsid w:val="00732F32"/>
    <w:rsid w:val="00733A73"/>
    <w:rsid w:val="00736B6C"/>
    <w:rsid w:val="00745CFF"/>
    <w:rsid w:val="00746FF2"/>
    <w:rsid w:val="0075044F"/>
    <w:rsid w:val="00761133"/>
    <w:rsid w:val="00764E84"/>
    <w:rsid w:val="007762F8"/>
    <w:rsid w:val="00783520"/>
    <w:rsid w:val="007A02D3"/>
    <w:rsid w:val="007A18B1"/>
    <w:rsid w:val="007A399E"/>
    <w:rsid w:val="007A3A38"/>
    <w:rsid w:val="007A3D4E"/>
    <w:rsid w:val="007A7348"/>
    <w:rsid w:val="007B65D7"/>
    <w:rsid w:val="007B7207"/>
    <w:rsid w:val="007C055A"/>
    <w:rsid w:val="007C1693"/>
    <w:rsid w:val="007C3E0C"/>
    <w:rsid w:val="007C645A"/>
    <w:rsid w:val="007D0E84"/>
    <w:rsid w:val="007D681B"/>
    <w:rsid w:val="007E0220"/>
    <w:rsid w:val="007E1A7B"/>
    <w:rsid w:val="007E1D85"/>
    <w:rsid w:val="007E2E85"/>
    <w:rsid w:val="007E5B48"/>
    <w:rsid w:val="007E702A"/>
    <w:rsid w:val="007F6164"/>
    <w:rsid w:val="0080038B"/>
    <w:rsid w:val="00804441"/>
    <w:rsid w:val="008072E6"/>
    <w:rsid w:val="008109F8"/>
    <w:rsid w:val="0081154A"/>
    <w:rsid w:val="008118CC"/>
    <w:rsid w:val="00820B36"/>
    <w:rsid w:val="008250FA"/>
    <w:rsid w:val="008260AE"/>
    <w:rsid w:val="00827BB2"/>
    <w:rsid w:val="008329DA"/>
    <w:rsid w:val="008330E7"/>
    <w:rsid w:val="008353A4"/>
    <w:rsid w:val="008372C6"/>
    <w:rsid w:val="0084197F"/>
    <w:rsid w:val="00844CE8"/>
    <w:rsid w:val="00847154"/>
    <w:rsid w:val="0084796B"/>
    <w:rsid w:val="008650E8"/>
    <w:rsid w:val="0086657B"/>
    <w:rsid w:val="00871858"/>
    <w:rsid w:val="008832E5"/>
    <w:rsid w:val="00891711"/>
    <w:rsid w:val="00897669"/>
    <w:rsid w:val="008A08F2"/>
    <w:rsid w:val="008A21F2"/>
    <w:rsid w:val="008A3FC4"/>
    <w:rsid w:val="008A6CA6"/>
    <w:rsid w:val="008B284D"/>
    <w:rsid w:val="008C0181"/>
    <w:rsid w:val="008C0E3D"/>
    <w:rsid w:val="008C667C"/>
    <w:rsid w:val="008D27CD"/>
    <w:rsid w:val="008D4451"/>
    <w:rsid w:val="008D62B7"/>
    <w:rsid w:val="008E6895"/>
    <w:rsid w:val="008F7292"/>
    <w:rsid w:val="00900B3C"/>
    <w:rsid w:val="00904FB5"/>
    <w:rsid w:val="0091136C"/>
    <w:rsid w:val="009157ED"/>
    <w:rsid w:val="00927276"/>
    <w:rsid w:val="00930D7D"/>
    <w:rsid w:val="009318EA"/>
    <w:rsid w:val="009444DF"/>
    <w:rsid w:val="00945A45"/>
    <w:rsid w:val="00950225"/>
    <w:rsid w:val="0095047E"/>
    <w:rsid w:val="00956101"/>
    <w:rsid w:val="00957322"/>
    <w:rsid w:val="00962CD6"/>
    <w:rsid w:val="00970B32"/>
    <w:rsid w:val="00981B07"/>
    <w:rsid w:val="00985A7D"/>
    <w:rsid w:val="00993A60"/>
    <w:rsid w:val="00996F90"/>
    <w:rsid w:val="009A1DDB"/>
    <w:rsid w:val="009B014E"/>
    <w:rsid w:val="009B2C25"/>
    <w:rsid w:val="009B42C5"/>
    <w:rsid w:val="009B79D2"/>
    <w:rsid w:val="009B7A15"/>
    <w:rsid w:val="009B7AD9"/>
    <w:rsid w:val="009D71D5"/>
    <w:rsid w:val="009E2887"/>
    <w:rsid w:val="009E5CB9"/>
    <w:rsid w:val="009F0E8F"/>
    <w:rsid w:val="009F31F2"/>
    <w:rsid w:val="009F45A5"/>
    <w:rsid w:val="009F5A37"/>
    <w:rsid w:val="00A01C2E"/>
    <w:rsid w:val="00A02BB2"/>
    <w:rsid w:val="00A02F7F"/>
    <w:rsid w:val="00A04052"/>
    <w:rsid w:val="00A12563"/>
    <w:rsid w:val="00A24DD9"/>
    <w:rsid w:val="00A34093"/>
    <w:rsid w:val="00A3759A"/>
    <w:rsid w:val="00A46559"/>
    <w:rsid w:val="00A500EC"/>
    <w:rsid w:val="00A67733"/>
    <w:rsid w:val="00A8185B"/>
    <w:rsid w:val="00A82D34"/>
    <w:rsid w:val="00A83CB6"/>
    <w:rsid w:val="00A83E98"/>
    <w:rsid w:val="00AA366C"/>
    <w:rsid w:val="00AA5E2F"/>
    <w:rsid w:val="00AA7317"/>
    <w:rsid w:val="00AB411F"/>
    <w:rsid w:val="00AB6F85"/>
    <w:rsid w:val="00AC2C0B"/>
    <w:rsid w:val="00AC2C54"/>
    <w:rsid w:val="00AC4905"/>
    <w:rsid w:val="00AC5725"/>
    <w:rsid w:val="00AE2B01"/>
    <w:rsid w:val="00AE7922"/>
    <w:rsid w:val="00B01011"/>
    <w:rsid w:val="00B11878"/>
    <w:rsid w:val="00B17855"/>
    <w:rsid w:val="00B2223C"/>
    <w:rsid w:val="00B46F30"/>
    <w:rsid w:val="00B47A9A"/>
    <w:rsid w:val="00B608C1"/>
    <w:rsid w:val="00B60D3D"/>
    <w:rsid w:val="00B61D95"/>
    <w:rsid w:val="00B65E18"/>
    <w:rsid w:val="00B82D8B"/>
    <w:rsid w:val="00B9187F"/>
    <w:rsid w:val="00BA534B"/>
    <w:rsid w:val="00BA7D5A"/>
    <w:rsid w:val="00BB3050"/>
    <w:rsid w:val="00BB7831"/>
    <w:rsid w:val="00BC31BC"/>
    <w:rsid w:val="00BC6167"/>
    <w:rsid w:val="00BE4435"/>
    <w:rsid w:val="00BE56CA"/>
    <w:rsid w:val="00BE6B71"/>
    <w:rsid w:val="00C01181"/>
    <w:rsid w:val="00C034C0"/>
    <w:rsid w:val="00C07BB3"/>
    <w:rsid w:val="00C2000E"/>
    <w:rsid w:val="00C20840"/>
    <w:rsid w:val="00C31084"/>
    <w:rsid w:val="00C379C9"/>
    <w:rsid w:val="00C422B8"/>
    <w:rsid w:val="00C42F2A"/>
    <w:rsid w:val="00C47776"/>
    <w:rsid w:val="00C53FE6"/>
    <w:rsid w:val="00C560AF"/>
    <w:rsid w:val="00C566D6"/>
    <w:rsid w:val="00C825E1"/>
    <w:rsid w:val="00C839ED"/>
    <w:rsid w:val="00C84299"/>
    <w:rsid w:val="00C879B0"/>
    <w:rsid w:val="00C92F14"/>
    <w:rsid w:val="00C9308C"/>
    <w:rsid w:val="00C97365"/>
    <w:rsid w:val="00CA38CD"/>
    <w:rsid w:val="00CA4703"/>
    <w:rsid w:val="00CA4B31"/>
    <w:rsid w:val="00CA739B"/>
    <w:rsid w:val="00CC08BA"/>
    <w:rsid w:val="00CC136B"/>
    <w:rsid w:val="00CC330A"/>
    <w:rsid w:val="00CC5727"/>
    <w:rsid w:val="00CC6AB0"/>
    <w:rsid w:val="00CC7DBD"/>
    <w:rsid w:val="00CD3603"/>
    <w:rsid w:val="00CD79BC"/>
    <w:rsid w:val="00CE38C0"/>
    <w:rsid w:val="00CF3849"/>
    <w:rsid w:val="00D0233C"/>
    <w:rsid w:val="00D064B9"/>
    <w:rsid w:val="00D066FC"/>
    <w:rsid w:val="00D11462"/>
    <w:rsid w:val="00D14D61"/>
    <w:rsid w:val="00D14D7D"/>
    <w:rsid w:val="00D22A47"/>
    <w:rsid w:val="00D275FC"/>
    <w:rsid w:val="00D3576E"/>
    <w:rsid w:val="00D43297"/>
    <w:rsid w:val="00D46B0B"/>
    <w:rsid w:val="00D50F96"/>
    <w:rsid w:val="00D51ECB"/>
    <w:rsid w:val="00D55ED8"/>
    <w:rsid w:val="00D6422A"/>
    <w:rsid w:val="00D66B39"/>
    <w:rsid w:val="00D70DB6"/>
    <w:rsid w:val="00D76048"/>
    <w:rsid w:val="00D83971"/>
    <w:rsid w:val="00D84A3A"/>
    <w:rsid w:val="00D86157"/>
    <w:rsid w:val="00D93C80"/>
    <w:rsid w:val="00D96A8F"/>
    <w:rsid w:val="00D97A0E"/>
    <w:rsid w:val="00DA2ADA"/>
    <w:rsid w:val="00DA4A58"/>
    <w:rsid w:val="00DB406A"/>
    <w:rsid w:val="00DB5531"/>
    <w:rsid w:val="00DC1378"/>
    <w:rsid w:val="00DD454D"/>
    <w:rsid w:val="00DD77B0"/>
    <w:rsid w:val="00DE78F2"/>
    <w:rsid w:val="00DF11A7"/>
    <w:rsid w:val="00E00F0E"/>
    <w:rsid w:val="00E0130F"/>
    <w:rsid w:val="00E03E8D"/>
    <w:rsid w:val="00E22091"/>
    <w:rsid w:val="00E23ECD"/>
    <w:rsid w:val="00E2697C"/>
    <w:rsid w:val="00E271CB"/>
    <w:rsid w:val="00E31C76"/>
    <w:rsid w:val="00E34FE3"/>
    <w:rsid w:val="00E36916"/>
    <w:rsid w:val="00E503EF"/>
    <w:rsid w:val="00E542A2"/>
    <w:rsid w:val="00E54B0A"/>
    <w:rsid w:val="00E55D6C"/>
    <w:rsid w:val="00E57396"/>
    <w:rsid w:val="00E61300"/>
    <w:rsid w:val="00E81A1B"/>
    <w:rsid w:val="00E81A86"/>
    <w:rsid w:val="00E82542"/>
    <w:rsid w:val="00E83543"/>
    <w:rsid w:val="00E83ABA"/>
    <w:rsid w:val="00E842E8"/>
    <w:rsid w:val="00E8607B"/>
    <w:rsid w:val="00E91073"/>
    <w:rsid w:val="00E93583"/>
    <w:rsid w:val="00EA2F86"/>
    <w:rsid w:val="00EA6D39"/>
    <w:rsid w:val="00EB1D97"/>
    <w:rsid w:val="00ED2D24"/>
    <w:rsid w:val="00EF297E"/>
    <w:rsid w:val="00EF4C53"/>
    <w:rsid w:val="00F006F1"/>
    <w:rsid w:val="00F02331"/>
    <w:rsid w:val="00F0612F"/>
    <w:rsid w:val="00F07B7B"/>
    <w:rsid w:val="00F1132E"/>
    <w:rsid w:val="00F23B95"/>
    <w:rsid w:val="00F2717F"/>
    <w:rsid w:val="00F31C30"/>
    <w:rsid w:val="00F365CD"/>
    <w:rsid w:val="00F40388"/>
    <w:rsid w:val="00F433C5"/>
    <w:rsid w:val="00F44957"/>
    <w:rsid w:val="00F467F4"/>
    <w:rsid w:val="00F54318"/>
    <w:rsid w:val="00F61CDD"/>
    <w:rsid w:val="00F63389"/>
    <w:rsid w:val="00F7762C"/>
    <w:rsid w:val="00F83505"/>
    <w:rsid w:val="00F873D9"/>
    <w:rsid w:val="00F8747E"/>
    <w:rsid w:val="00F91977"/>
    <w:rsid w:val="00F95CFF"/>
    <w:rsid w:val="00F97B57"/>
    <w:rsid w:val="00FA4F7C"/>
    <w:rsid w:val="00FB0456"/>
    <w:rsid w:val="00FB09C3"/>
    <w:rsid w:val="00FB47F4"/>
    <w:rsid w:val="00FC1083"/>
    <w:rsid w:val="00FC791E"/>
    <w:rsid w:val="00FD0EDF"/>
    <w:rsid w:val="00FD2B12"/>
    <w:rsid w:val="00FD2B9F"/>
    <w:rsid w:val="00FD61F5"/>
    <w:rsid w:val="00FE566D"/>
    <w:rsid w:val="00FE696F"/>
    <w:rsid w:val="00FF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E48EF"/>
  <w15:docId w15:val="{DAF76A4D-E421-40A0-9C86-27FBC3B9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uiPriority w:val="99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0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ConsPlusNormal">
    <w:name w:val="ConsPlusNormal"/>
    <w:rsid w:val="002C76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1">
    <w:name w:val="Body Text 2"/>
    <w:basedOn w:val="a"/>
    <w:link w:val="22"/>
    <w:uiPriority w:val="99"/>
    <w:semiHidden/>
    <w:unhideWhenUsed/>
    <w:rsid w:val="00F8747E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F8747E"/>
    <w:rPr>
      <w:sz w:val="22"/>
      <w:szCs w:val="22"/>
      <w:lang w:eastAsia="en-US"/>
    </w:rPr>
  </w:style>
  <w:style w:type="paragraph" w:customStyle="1" w:styleId="Nagwekstrony">
    <w:name w:val="Nagłówek strony"/>
    <w:rsid w:val="00050DFB"/>
    <w:pPr>
      <w:tabs>
        <w:tab w:val="center" w:pos="4536"/>
        <w:tab w:val="right" w:pos="9072"/>
      </w:tabs>
    </w:pPr>
    <w:rPr>
      <w:rFonts w:ascii="HeliodorFEF" w:eastAsia="Times New Roman" w:hAnsi="HeliodorFEF" w:cs="HeliodorFEF"/>
      <w:sz w:val="24"/>
      <w:szCs w:val="24"/>
      <w:lang w:eastAsia="pl-PL"/>
    </w:rPr>
  </w:style>
  <w:style w:type="paragraph" w:styleId="23">
    <w:name w:val="Body Text Indent 2"/>
    <w:basedOn w:val="a"/>
    <w:link w:val="24"/>
    <w:rsid w:val="00050DFB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4">
    <w:name w:val="Основной текст с отступом 2 Знак"/>
    <w:link w:val="23"/>
    <w:rsid w:val="00050DFB"/>
    <w:rPr>
      <w:rFonts w:ascii="Courier New" w:eastAsia="Times New Roman" w:hAnsi="Courier New" w:cs="Courier New"/>
    </w:rPr>
  </w:style>
  <w:style w:type="paragraph" w:customStyle="1" w:styleId="SPCnormal">
    <w:name w:val="SPC_normal"/>
    <w:rsid w:val="00434CDD"/>
    <w:rPr>
      <w:rFonts w:ascii="Times New Roman" w:eastAsia="Times New Roman" w:hAnsi="Times New Roman"/>
      <w:sz w:val="22"/>
      <w:lang w:val="en-GB" w:eastAsia="sv-SE"/>
    </w:rPr>
  </w:style>
  <w:style w:type="character" w:customStyle="1" w:styleId="FontStyle18">
    <w:name w:val="Font Style18"/>
    <w:uiPriority w:val="99"/>
    <w:rsid w:val="002169A9"/>
    <w:rPr>
      <w:rFonts w:ascii="Times New Roman" w:hAnsi="Times New Roman" w:cs="Times New Roman" w:hint="default"/>
      <w:b/>
      <w:bCs/>
      <w:i/>
      <w:iCs/>
      <w:sz w:val="22"/>
      <w:szCs w:val="22"/>
    </w:rPr>
  </w:style>
  <w:style w:type="paragraph" w:customStyle="1" w:styleId="emea">
    <w:name w:val="emea"/>
    <w:aliases w:val="standard"/>
    <w:uiPriority w:val="99"/>
    <w:rsid w:val="009A1DDB"/>
    <w:pPr>
      <w:tabs>
        <w:tab w:val="left" w:pos="567"/>
      </w:tabs>
      <w:snapToGrid w:val="0"/>
    </w:pPr>
    <w:rPr>
      <w:rFonts w:ascii="Times New Roman" w:eastAsia="Times New Roman" w:hAnsi="Times New Roman"/>
      <w:sz w:val="22"/>
      <w:szCs w:val="22"/>
      <w:lang w:val="de-DE" w:eastAsia="de-DE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057567"/>
    <w:rPr>
      <w:color w:val="605E5C"/>
      <w:shd w:val="clear" w:color="auto" w:fill="E1DFDD"/>
    </w:rPr>
  </w:style>
  <w:style w:type="character" w:styleId="afa">
    <w:name w:val="Unresolved Mention"/>
    <w:basedOn w:val="a0"/>
    <w:uiPriority w:val="99"/>
    <w:semiHidden/>
    <w:unhideWhenUsed/>
    <w:rsid w:val="00214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yperlink" Target="mailto:pharmacovigilance@rogerspharma.kz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na.volovnikova@gmail.com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office.secretary@rogersgroup.in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admin@acmegenerics.i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7AA9A-29C9-4500-AFAD-87E957489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3512</Words>
  <Characters>20022</Characters>
  <Application>Microsoft Office Word</Application>
  <DocSecurity>0</DocSecurity>
  <Lines>166</Lines>
  <Paragraphs>46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JSC Farmak</Company>
  <LinksUpToDate>false</LinksUpToDate>
  <CharactersWithSpaces>23488</CharactersWithSpaces>
  <SharedDoc>false</SharedDoc>
  <HLinks>
    <vt:vector size="18" baseType="variant">
      <vt:variant>
        <vt:i4>7077902</vt:i4>
      </vt:variant>
      <vt:variant>
        <vt:i4>6</vt:i4>
      </vt:variant>
      <vt:variant>
        <vt:i4>0</vt:i4>
      </vt:variant>
      <vt:variant>
        <vt:i4>5</vt:i4>
      </vt:variant>
      <vt:variant>
        <vt:lpwstr>mailto:irina.volovnikova@gmail.com</vt:lpwstr>
      </vt:variant>
      <vt:variant>
        <vt:lpwstr/>
      </vt:variant>
      <vt:variant>
        <vt:i4>5505138</vt:i4>
      </vt:variant>
      <vt:variant>
        <vt:i4>3</vt:i4>
      </vt:variant>
      <vt:variant>
        <vt:i4>0</vt:i4>
      </vt:variant>
      <vt:variant>
        <vt:i4>5</vt:i4>
      </vt:variant>
      <vt:variant>
        <vt:lpwstr>mailto:admin@acmegenerics.in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Dell</cp:lastModifiedBy>
  <cp:revision>28</cp:revision>
  <cp:lastPrinted>2018-03-22T06:08:00Z</cp:lastPrinted>
  <dcterms:created xsi:type="dcterms:W3CDTF">2022-09-28T11:18:00Z</dcterms:created>
  <dcterms:modified xsi:type="dcterms:W3CDTF">2024-11-14T13:31:00Z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e47c19-e68f-4046-bf94-918d2dcc81ee_Enabled">
    <vt:lpwstr>true</vt:lpwstr>
  </property>
  <property fmtid="{D5CDD505-2E9C-101B-9397-08002B2CF9AE}" pid="3" name="MSIP_Label_a4e47c19-e68f-4046-bf94-918d2dcc81ee_SetDate">
    <vt:lpwstr>2021-04-13T06:22:54Z</vt:lpwstr>
  </property>
  <property fmtid="{D5CDD505-2E9C-101B-9397-08002B2CF9AE}" pid="4" name="MSIP_Label_a4e47c19-e68f-4046-bf94-918d2dcc81ee_Method">
    <vt:lpwstr>Standard</vt:lpwstr>
  </property>
  <property fmtid="{D5CDD505-2E9C-101B-9397-08002B2CF9AE}" pid="5" name="MSIP_Label_a4e47c19-e68f-4046-bf94-918d2dcc81ee_Name">
    <vt:lpwstr>Business Use Only</vt:lpwstr>
  </property>
  <property fmtid="{D5CDD505-2E9C-101B-9397-08002B2CF9AE}" pid="6" name="MSIP_Label_a4e47c19-e68f-4046-bf94-918d2dcc81ee_SiteId">
    <vt:lpwstr>34cd94b5-d86c-447f-8d9b-81b4ff94d329</vt:lpwstr>
  </property>
  <property fmtid="{D5CDD505-2E9C-101B-9397-08002B2CF9AE}" pid="7" name="MSIP_Label_a4e47c19-e68f-4046-bf94-918d2dcc81ee_ActionId">
    <vt:lpwstr>02ff32a8-fae2-441f-9149-feff1618fdb6</vt:lpwstr>
  </property>
  <property fmtid="{D5CDD505-2E9C-101B-9397-08002B2CF9AE}" pid="8" name="MSIP_Label_a4e47c19-e68f-4046-bf94-918d2dcc81ee_ContentBits">
    <vt:lpwstr>0</vt:lpwstr>
  </property>
</Properties>
</file>